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202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Cs w:val="32"/>
        </w:rPr>
        <w:t>年，县人力资源和社会保障局围绕县委县政府中心工作，紧扣“服务发展、保障民生、促进和谐”为主线，以保障公民、法人和其他组织的知情权、提高政府工作的透明度、促进依法行政为目的，积极推进政府信息公开的各项工作。建立健全了政府信息公开发布保密审查机制，完善了信息公开制度和流程，把信息公开工作纳入了年度工作目标责任制考核，保证了信息发布及时、准确、规范、完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Cs w:val="32"/>
          <w:lang w:eastAsia="zh-CN"/>
        </w:rPr>
        <w:t>（一）主动公开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</w:rPr>
        <w:t>我局在县政府门户网站（http://www.panan.gov.cn）将属于主动公开范围的政府信息分机构信息、政策文件、规划计划、公告公示、人事信息、财政信息、公开年报、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重点领域公开等13项，主动向社会公开政府信息。全年共公开信息</w:t>
      </w:r>
      <w:r>
        <w:rPr>
          <w:rFonts w:hint="eastAsia" w:ascii="Times New Roman" w:hAnsi="Times New Roman" w:eastAsia="仿宋_GB2312" w:cs="Times New Roman"/>
          <w:szCs w:val="32"/>
          <w:highlight w:val="none"/>
          <w:lang w:val="en-US" w:eastAsia="zh-CN"/>
        </w:rPr>
        <w:t>167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Cs w:val="32"/>
          <w:highlight w:val="none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highlight w:val="none"/>
        </w:rPr>
      </w:pPr>
      <w:r>
        <w:rPr>
          <w:rFonts w:hint="default" w:ascii="Times New Roman" w:hAnsi="Times New Roman" w:eastAsia="楷体_GB2312" w:cs="Times New Roman"/>
          <w:highlight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highlight w:val="none"/>
        </w:rPr>
        <w:t>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</w:rPr>
        <w:t>认真贯彻落实有关依申请公开政府信息文件精神，完善依申请公开目录，规范相关工作流程。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收到公民的政府信息公开申请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auto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auto"/>
        </w:rPr>
        <w:t>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为了更好地提供政府信息公开服务，我局编制了《政府信息公开指南》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</w:rPr>
        <w:t>严格按照政府信息平台账号专人管理，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专人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</w:rPr>
        <w:t>审核后发布，确保账号管理安全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政府信息公开工作更标准化、规范化。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lang w:eastAsia="zh-CN"/>
        </w:rPr>
        <w:t>（四）</w:t>
      </w:r>
      <w:r>
        <w:rPr>
          <w:rFonts w:hint="default" w:ascii="Times New Roman" w:hAnsi="Times New Roman" w:eastAsia="楷体_GB2312" w:cs="Times New Roman"/>
        </w:rPr>
        <w:t>政府信息公开平台建设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平台建设水平进一步提升，政府信息公开平台建设迈上新台阶。制度建设进一步健全，各级各部门进一步建立健全了政府信息主动公开和依申请公开机制、政府信息公开指南和公开目录更新完善机制、保密审查机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lang w:eastAsia="zh-CN"/>
        </w:rPr>
        <w:t>（五）</w:t>
      </w:r>
      <w:r>
        <w:rPr>
          <w:rFonts w:hint="default" w:ascii="Times New Roman" w:hAnsi="Times New Roman" w:eastAsia="楷体_GB2312" w:cs="Times New Roman"/>
        </w:rPr>
        <w:t>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工作考核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  <w:t>2022年我局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每季度统计并上传一次本局政府信息公开工作情况统计表进行考核。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社会评议：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主动听取社会各界对我局政府信息公开的意见和建议，充分发挥人民群众的监督作用，不断改进工作。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责任追究结果情况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局办公室作为政府信息公开平台即局门户网站的主管职能处室，严格落实定人定位定职责，落实专人负责网站管理和维护，强化监督管理，自觉主动接受工作考核和社会评议，未发现违反有关法律法规规定，造成不良影响或者严重后果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Times New Roman" w:hAnsi="Times New Roman" w:eastAsia="黑体" w:cs="宋体"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二、主动公开政府信息情况</w:t>
      </w:r>
    </w:p>
    <w:tbl>
      <w:tblPr>
        <w:tblStyle w:val="4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2426"/>
        <w:gridCol w:w="2426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704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</w:t>
            </w:r>
            <w:r>
              <w:rPr>
                <w:rFonts w:ascii="Times New Roman" w:hAnsi="Times New Roman" w:cs="宋体"/>
                <w:kern w:val="0"/>
                <w:sz w:val="20"/>
              </w:rPr>
              <w:t>制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发件</w:t>
            </w:r>
            <w:r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本年废止件数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现行有效件</w:t>
            </w:r>
            <w:r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规章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行政规范性文件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704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行政许可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04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行政处罚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行政强制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04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行政事业性收费</w:t>
            </w:r>
          </w:p>
        </w:tc>
        <w:tc>
          <w:tcPr>
            <w:tcW w:w="727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Times New Roman" w:hAnsi="Times New Roman" w:eastAsia="黑体" w:cs="宋体"/>
          <w:bCs/>
          <w:kern w:val="0"/>
          <w:sz w:val="28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313"/>
        <w:gridCol w:w="632"/>
        <w:gridCol w:w="688"/>
        <w:gridCol w:w="665"/>
        <w:gridCol w:w="711"/>
        <w:gridCol w:w="688"/>
        <w:gridCol w:w="688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商业</w:t>
            </w:r>
          </w:p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企业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科研</w:t>
            </w:r>
          </w:p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机构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</w:p>
        </w:tc>
        <w:tc>
          <w:tcPr>
            <w:tcW w:w="6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atLeast"/>
          <w:jc w:val="center"/>
        </w:trPr>
        <w:tc>
          <w:tcPr>
            <w:tcW w:w="498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498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三、本年度办理结果</w:t>
            </w:r>
          </w:p>
        </w:tc>
        <w:tc>
          <w:tcPr>
            <w:tcW w:w="42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（一）予以公开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（二）部分公开</w:t>
            </w:r>
            <w:r>
              <w:rPr>
                <w:rFonts w:hint="eastAsia" w:ascii="Times New Roman" w:hAnsi="Times New Roman" w:eastAsia="楷体" w:cs="宋体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（三）不予公开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1.属于国家秘密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4.保护第三方合法权益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6.属于四类过程性信息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7.属于行政执法案卷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8.属于行政查询事项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（四）无法提供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（五）不予处理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1.信访举报投诉类申请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2.重复申请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3.要求提供公开出版物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（六）其他处理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3.其他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（七）总计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498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政府信息公开行政复议、行政诉讼情况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五、存在的主要问题及改进情况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一年来，我局信息公开流程还存在一定问题，如政府信息公开工作人手缺乏，人员调动频繁，需要根据人员变动，对发布员、审核员进行调整，并明确分工；再如常态政务公开工作做得不够，工作人员主动公开意识不强。三是信息公开还存在不规范的现象，如发布的内容在文字表述中规范，需要更加规范、准确地发布信息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年，我局将认真对照查找出的问题，加以整改，配足配强政务公开人员队伍，进一步加强政府公开审查工作，主动开公政务信息。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kern w:val="0"/>
          <w:szCs w:val="24"/>
        </w:rPr>
      </w:pPr>
      <w:r>
        <w:rPr>
          <w:rFonts w:hint="default" w:ascii="Times New Roman" w:hAnsi="Times New Roman" w:eastAsia="黑体" w:cs="Times New Roman"/>
          <w:bCs/>
          <w:kern w:val="0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Cs w:val="24"/>
        </w:rPr>
        <w:t>本年度我局未发出政府信息处理费收费通知书，不存在收取信息处理费的情况</w:t>
      </w:r>
      <w:r>
        <w:rPr>
          <w:rFonts w:hint="eastAsia" w:eastAsia="仿宋_GB2312" w:cs="Times New Roman"/>
          <w:kern w:val="0"/>
          <w:szCs w:val="24"/>
          <w:lang w:eastAsia="zh-CN"/>
        </w:rPr>
        <w:t>；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也无其他需要报告的事项。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9EB13"/>
    <w:multiLevelType w:val="singleLevel"/>
    <w:tmpl w:val="1DF9EB1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2FD1"/>
    <w:rsid w:val="11A143CE"/>
    <w:rsid w:val="400A26DD"/>
    <w:rsid w:val="46672FD1"/>
    <w:rsid w:val="48E5331A"/>
    <w:rsid w:val="496D09F7"/>
    <w:rsid w:val="755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2023-01-03T05:31:00Z</dcterms:created>
  <dc:creator>人力社保局办公室</dc:creator>
  <cp:lastModifiedBy>人力社保局办公室</cp:lastModifiedBy>
  <dcterms:modified xsi:type="dcterms:W3CDTF">2023-01-03T07:31:21Z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