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Style w:val="20"/>
        </w:rPr>
      </w:pPr>
    </w:p>
    <w:p>
      <w:pPr>
        <w:spacing w:line="360" w:lineRule="auto"/>
        <w:jc w:val="center"/>
        <w:rPr>
          <w:sz w:val="56"/>
        </w:rPr>
      </w:pPr>
    </w:p>
    <w:p>
      <w:pPr>
        <w:spacing w:line="360" w:lineRule="auto"/>
        <w:jc w:val="center"/>
        <w:rPr>
          <w:sz w:val="56"/>
        </w:rPr>
      </w:pPr>
    </w:p>
    <w:p>
      <w:pPr>
        <w:spacing w:line="360" w:lineRule="auto"/>
        <w:ind w:left="0" w:leftChars="0" w:firstLine="0" w:firstLineChars="0"/>
        <w:jc w:val="center"/>
        <w:rPr>
          <w:rFonts w:hint="eastAsia" w:ascii="黑体" w:hAnsi="宋体" w:eastAsia="黑体" w:cs="Times New Roman"/>
          <w:sz w:val="52"/>
          <w:szCs w:val="48"/>
        </w:rPr>
      </w:pPr>
      <w:r>
        <w:rPr>
          <w:rFonts w:hint="eastAsia" w:ascii="黑体" w:hAnsi="宋体" w:eastAsia="黑体" w:cs="Times New Roman"/>
          <w:sz w:val="52"/>
          <w:szCs w:val="48"/>
        </w:rPr>
        <w:t>金华市市县一体</w:t>
      </w:r>
    </w:p>
    <w:p>
      <w:pPr>
        <w:spacing w:line="360" w:lineRule="auto"/>
        <w:ind w:left="0" w:leftChars="0" w:firstLine="0" w:firstLineChars="0"/>
        <w:jc w:val="center"/>
        <w:rPr>
          <w:rFonts w:hint="eastAsia" w:ascii="黑体" w:hAnsi="宋体" w:eastAsia="黑体" w:cs="Times New Roman"/>
          <w:sz w:val="52"/>
          <w:szCs w:val="48"/>
        </w:rPr>
      </w:pPr>
      <w:r>
        <w:rPr>
          <w:rFonts w:hint="eastAsia" w:ascii="黑体" w:hAnsi="宋体" w:eastAsia="黑体" w:cs="Times New Roman"/>
          <w:sz w:val="52"/>
          <w:szCs w:val="48"/>
        </w:rPr>
        <w:t>公共资源全流程电子交易综合系统</w:t>
      </w:r>
    </w:p>
    <w:p>
      <w:pPr>
        <w:spacing w:line="360" w:lineRule="auto"/>
        <w:jc w:val="center"/>
        <w:rPr>
          <w:rFonts w:hint="eastAsia" w:ascii="黑体" w:hAnsi="宋体" w:eastAsia="黑体" w:cs="Times New Roman"/>
          <w:sz w:val="52"/>
          <w:szCs w:val="48"/>
        </w:rPr>
      </w:pPr>
    </w:p>
    <w:p>
      <w:pPr>
        <w:spacing w:line="360" w:lineRule="auto"/>
        <w:jc w:val="center"/>
        <w:rPr>
          <w:rFonts w:ascii="黑体" w:hAnsi="宋体" w:eastAsia="黑体" w:cs="Times New Roman"/>
          <w:sz w:val="52"/>
          <w:szCs w:val="48"/>
        </w:rPr>
      </w:pPr>
      <w:r>
        <w:rPr>
          <w:rFonts w:hint="eastAsia" w:ascii="黑体" w:hAnsi="宋体" w:eastAsia="黑体" w:cs="Times New Roman"/>
          <w:sz w:val="52"/>
          <w:szCs w:val="48"/>
          <w:lang w:val="en-US" w:eastAsia="zh-CN"/>
        </w:rPr>
        <w:t>投标人</w:t>
      </w:r>
      <w:r>
        <w:rPr>
          <w:rFonts w:ascii="黑体" w:hAnsi="宋体" w:eastAsia="黑体" w:cs="Times New Roman"/>
          <w:sz w:val="52"/>
          <w:szCs w:val="48"/>
        </w:rPr>
        <w:t>用户手册</w:t>
      </w:r>
    </w:p>
    <w:p>
      <w:pPr>
        <w:widowControl/>
        <w:spacing w:line="360" w:lineRule="auto"/>
        <w:ind w:firstLine="4216" w:firstLineChars="1500"/>
        <w:jc w:val="left"/>
        <w:rPr>
          <w:rFonts w:ascii="宋体" w:hAnsi="宋体"/>
          <w:b/>
          <w:sz w:val="28"/>
        </w:rPr>
      </w:pPr>
    </w:p>
    <w:p>
      <w:pPr>
        <w:widowControl/>
        <w:spacing w:line="360" w:lineRule="auto"/>
        <w:jc w:val="left"/>
        <w:rPr>
          <w:rFonts w:ascii="宋体" w:hAnsi="宋体"/>
          <w:b/>
          <w:sz w:val="28"/>
        </w:rPr>
      </w:pPr>
    </w:p>
    <w:p>
      <w:pPr>
        <w:widowControl/>
        <w:spacing w:line="360" w:lineRule="auto"/>
        <w:ind w:firstLine="4216" w:firstLineChars="1500"/>
        <w:jc w:val="left"/>
        <w:rPr>
          <w:rFonts w:ascii="宋体" w:hAnsi="宋体"/>
          <w:b/>
          <w:sz w:val="28"/>
        </w:rPr>
      </w:pPr>
    </w:p>
    <w:p>
      <w:pPr>
        <w:widowControl/>
        <w:spacing w:line="360" w:lineRule="auto"/>
        <w:ind w:firstLine="4216" w:firstLineChars="1500"/>
        <w:jc w:val="left"/>
        <w:rPr>
          <w:rFonts w:ascii="宋体" w:hAnsi="宋体"/>
          <w:b/>
          <w:sz w:val="28"/>
        </w:rPr>
      </w:pPr>
    </w:p>
    <w:p>
      <w:pPr>
        <w:widowControl/>
        <w:spacing w:line="360" w:lineRule="auto"/>
        <w:ind w:firstLine="4216" w:firstLineChars="1500"/>
        <w:jc w:val="left"/>
        <w:rPr>
          <w:rFonts w:ascii="宋体" w:hAnsi="宋体"/>
          <w:b/>
          <w:sz w:val="28"/>
        </w:rPr>
      </w:pPr>
    </w:p>
    <w:p>
      <w:pPr>
        <w:spacing w:line="360" w:lineRule="auto"/>
        <w:jc w:val="center"/>
        <w:rPr>
          <w:b/>
          <w:sz w:val="48"/>
        </w:rPr>
      </w:pPr>
      <w:r>
        <w:drawing>
          <wp:inline distT="0" distB="0" distL="0" distR="0">
            <wp:extent cx="1085850" cy="409575"/>
            <wp:effectExtent l="0" t="0" r="6350" b="9525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广联达软件股份公司</w:t>
      </w:r>
    </w:p>
    <w:p>
      <w:pPr>
        <w:widowControl/>
        <w:spacing w:line="360" w:lineRule="auto"/>
        <w:jc w:val="center"/>
        <w:rPr>
          <w:rFonts w:ascii="宋体" w:hAnsi="宋体" w:cs="宋体"/>
          <w:kern w:val="0"/>
        </w:rPr>
      </w:pPr>
      <w:r>
        <w:rPr>
          <w:rFonts w:hint="eastAsia" w:ascii="宋体" w:hAnsi="宋体"/>
          <w:b/>
          <w:sz w:val="28"/>
        </w:rPr>
        <w:t>202</w:t>
      </w:r>
      <w:r>
        <w:rPr>
          <w:rFonts w:hint="eastAsia" w:ascii="宋体" w:hAnsi="宋体"/>
          <w:b/>
          <w:sz w:val="28"/>
          <w:lang w:val="en-US" w:eastAsia="zh-CN"/>
        </w:rPr>
        <w:t>3</w:t>
      </w:r>
      <w:r>
        <w:rPr>
          <w:rFonts w:ascii="宋体" w:hAnsi="宋体"/>
          <w:b/>
          <w:sz w:val="28"/>
        </w:rPr>
        <w:t>年</w:t>
      </w:r>
      <w:r>
        <w:rPr>
          <w:rFonts w:hint="eastAsia" w:ascii="宋体" w:hAnsi="宋体"/>
          <w:b/>
          <w:sz w:val="28"/>
          <w:lang w:val="en-US" w:eastAsia="zh-CN"/>
        </w:rPr>
        <w:t>03</w:t>
      </w:r>
      <w:r>
        <w:rPr>
          <w:rFonts w:ascii="宋体" w:hAnsi="宋体"/>
          <w:b/>
          <w:sz w:val="28"/>
        </w:rPr>
        <w:t>月</w:t>
      </w:r>
    </w:p>
    <w:p>
      <w:pPr>
        <w:spacing w:line="360" w:lineRule="auto"/>
        <w:jc w:val="center"/>
        <w:rPr>
          <w:b/>
          <w:sz w:val="48"/>
        </w:rPr>
      </w:pPr>
    </w:p>
    <w:p>
      <w:pPr>
        <w:spacing w:line="360" w:lineRule="auto"/>
        <w:jc w:val="center"/>
        <w:rPr>
          <w:b/>
          <w:sz w:val="48"/>
        </w:rPr>
      </w:pPr>
    </w:p>
    <w:p>
      <w:pPr>
        <w:spacing w:line="360" w:lineRule="auto"/>
        <w:jc w:val="center"/>
        <w:rPr>
          <w:b/>
          <w:sz w:val="48"/>
        </w:rPr>
      </w:pPr>
    </w:p>
    <w:p>
      <w:pPr>
        <w:spacing w:line="360" w:lineRule="auto"/>
        <w:ind w:left="0" w:leftChars="0" w:firstLine="0" w:firstLineChars="0"/>
        <w:jc w:val="both"/>
        <w:rPr>
          <w:b/>
          <w:sz w:val="48"/>
        </w:rPr>
      </w:pPr>
    </w:p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1757857781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="宋体"/>
          <w:b/>
          <w:bCs/>
          <w:color w:val="auto"/>
          <w:kern w:val="2"/>
          <w:sz w:val="28"/>
          <w:szCs w:val="28"/>
          <w:lang w:val="zh-CN"/>
        </w:rPr>
      </w:sdtEndPr>
      <w:sdtContent>
        <w:p>
          <w:pPr>
            <w:bidi w:val="0"/>
            <w:jc w:val="center"/>
            <w:rPr>
              <w:rFonts w:ascii="华文宋体" w:hAnsi="华文宋体" w:eastAsia="华文宋体"/>
              <w:b/>
              <w:sz w:val="28"/>
              <w:szCs w:val="28"/>
            </w:rPr>
          </w:pPr>
          <w:r>
            <w:rPr>
              <w:rFonts w:ascii="华文宋体" w:hAnsi="华文宋体" w:eastAsia="华文宋体"/>
              <w:b/>
              <w:sz w:val="28"/>
              <w:szCs w:val="28"/>
              <w:lang w:val="zh-CN"/>
            </w:rPr>
            <w:t>目录</w:t>
          </w:r>
        </w:p>
        <w:p>
          <w:pPr>
            <w:pStyle w:val="15"/>
            <w:tabs>
              <w:tab w:val="right" w:leader="dot" w:pos="8306"/>
            </w:tabs>
            <w:ind w:left="0" w:leftChars="0" w:firstLine="560" w:firstLineChars="200"/>
          </w:pP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TOC \o "1-3" \h \z \u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Cs w:val="28"/>
            </w:rPr>
            <w:instrText xml:space="preserve"> HYPERLINK \l _Toc1985 </w:instrText>
          </w:r>
          <w:r>
            <w:rPr>
              <w:rFonts w:hint="eastAsia" w:ascii="宋体" w:hAnsi="宋体" w:eastAsia="宋体" w:cs="宋体"/>
              <w:szCs w:val="28"/>
            </w:rPr>
            <w:fldChar w:fldCharType="separate"/>
          </w:r>
          <w:r>
            <w:rPr>
              <w:rFonts w:hint="eastAsia"/>
            </w:rPr>
            <w:t xml:space="preserve">第一章 </w:t>
          </w:r>
          <w:r>
            <w:t>编写目的</w:t>
          </w:r>
          <w:r>
            <w:tab/>
          </w:r>
          <w:r>
            <w:fldChar w:fldCharType="begin"/>
          </w:r>
          <w:r>
            <w:instrText xml:space="preserve"> PAGEREF _Toc1985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8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28"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28"/>
              <w:lang w:val="zh-CN"/>
            </w:rPr>
            <w:instrText xml:space="preserve"> HYPERLINK \l _Toc15412 </w:instrText>
          </w:r>
          <w:r>
            <w:rPr>
              <w:rFonts w:hint="eastAsia" w:ascii="宋体" w:hAnsi="宋体" w:eastAsia="宋体" w:cs="宋体"/>
              <w:bCs/>
              <w:szCs w:val="28"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第二章 重要事项</w:t>
          </w:r>
          <w:r>
            <w:tab/>
          </w:r>
          <w:r>
            <w:fldChar w:fldCharType="begin"/>
          </w:r>
          <w:r>
            <w:instrText xml:space="preserve"> PAGEREF _Toc15412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28"/>
              <w:lang w:val="zh-CN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28"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28"/>
              <w:lang w:val="zh-CN"/>
            </w:rPr>
            <w:instrText xml:space="preserve"> HYPERLINK \l _Toc27706 </w:instrText>
          </w:r>
          <w:r>
            <w:rPr>
              <w:rFonts w:hint="eastAsia" w:ascii="宋体" w:hAnsi="宋体" w:eastAsia="宋体" w:cs="宋体"/>
              <w:bCs/>
              <w:szCs w:val="28"/>
              <w:lang w:val="zh-CN"/>
            </w:rPr>
            <w:fldChar w:fldCharType="separate"/>
          </w:r>
          <w:r>
            <w:rPr>
              <w:rFonts w:hint="eastAsia"/>
            </w:rPr>
            <w:t>第三章 业务流程</w:t>
          </w:r>
          <w:r>
            <w:tab/>
          </w:r>
          <w:r>
            <w:fldChar w:fldCharType="begin"/>
          </w:r>
          <w:r>
            <w:instrText xml:space="preserve"> PAGEREF _Toc27706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28"/>
              <w:lang w:val="zh-CN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28"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28"/>
              <w:lang w:val="zh-CN"/>
            </w:rPr>
            <w:instrText xml:space="preserve"> HYPERLINK \l _Toc11641 </w:instrText>
          </w:r>
          <w:r>
            <w:rPr>
              <w:rFonts w:hint="eastAsia" w:ascii="宋体" w:hAnsi="宋体" w:eastAsia="宋体" w:cs="宋体"/>
              <w:bCs/>
              <w:szCs w:val="28"/>
              <w:lang w:val="zh-CN"/>
            </w:rPr>
            <w:fldChar w:fldCharType="separate"/>
          </w:r>
          <w:r>
            <w:rPr>
              <w:rFonts w:hint="eastAsia"/>
            </w:rPr>
            <w:t xml:space="preserve">第四章 </w:t>
          </w:r>
          <w:r>
            <w:t>业务指南</w:t>
          </w:r>
          <w:r>
            <w:tab/>
          </w:r>
          <w:r>
            <w:fldChar w:fldCharType="begin"/>
          </w:r>
          <w:r>
            <w:instrText xml:space="preserve"> PAGEREF _Toc11641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28"/>
              <w:lang w:val="zh-CN"/>
            </w:rP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28"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28"/>
              <w:lang w:val="zh-CN"/>
            </w:rPr>
            <w:instrText xml:space="preserve"> HYPERLINK \l _Toc2423 </w:instrText>
          </w:r>
          <w:r>
            <w:rPr>
              <w:rFonts w:hint="eastAsia" w:ascii="宋体" w:hAnsi="宋体" w:eastAsia="宋体" w:cs="宋体"/>
              <w:bCs/>
              <w:szCs w:val="28"/>
              <w:lang w:val="zh-CN"/>
            </w:rPr>
            <w:fldChar w:fldCharType="separate"/>
          </w:r>
          <w:r>
            <w:rPr>
              <w:rFonts w:hint="eastAsia"/>
            </w:rPr>
            <w:t xml:space="preserve">4.1. </w:t>
          </w:r>
          <w:r>
            <w:rPr>
              <w:rFonts w:hint="eastAsia"/>
              <w:lang w:val="en-US" w:eastAsia="zh-CN"/>
            </w:rPr>
            <w:t>主体库注册及维护</w:t>
          </w:r>
          <w:r>
            <w:tab/>
          </w:r>
          <w:r>
            <w:fldChar w:fldCharType="begin"/>
          </w:r>
          <w:r>
            <w:instrText xml:space="preserve"> PAGEREF _Toc2423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28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28"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28"/>
              <w:lang w:val="zh-CN"/>
            </w:rPr>
            <w:instrText xml:space="preserve"> HYPERLINK \l _Toc6967 </w:instrText>
          </w:r>
          <w:r>
            <w:rPr>
              <w:rFonts w:hint="eastAsia" w:ascii="宋体" w:hAnsi="宋体" w:eastAsia="宋体" w:cs="宋体"/>
              <w:bCs/>
              <w:szCs w:val="28"/>
              <w:lang w:val="zh-CN"/>
            </w:rPr>
            <w:fldChar w:fldCharType="separate"/>
          </w:r>
          <w:r>
            <w:rPr>
              <w:rFonts w:hint="eastAsia"/>
            </w:rPr>
            <w:t xml:space="preserve">4.1.1. </w:t>
          </w:r>
          <w:r>
            <w:rPr>
              <w:rFonts w:hint="eastAsia"/>
              <w:lang w:val="en-US" w:eastAsia="zh-CN"/>
            </w:rPr>
            <w:t>账号注册</w:t>
          </w:r>
          <w:r>
            <w:tab/>
          </w:r>
          <w:r>
            <w:fldChar w:fldCharType="begin"/>
          </w:r>
          <w:r>
            <w:instrText xml:space="preserve"> PAGEREF _Toc6967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28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28"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28"/>
              <w:lang w:val="zh-CN"/>
            </w:rPr>
            <w:instrText xml:space="preserve"> HYPERLINK \l _Toc9720 </w:instrText>
          </w:r>
          <w:r>
            <w:rPr>
              <w:rFonts w:hint="eastAsia" w:ascii="宋体" w:hAnsi="宋体" w:eastAsia="宋体" w:cs="宋体"/>
              <w:bCs/>
              <w:szCs w:val="28"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4.1.2. 登录</w:t>
          </w:r>
          <w:r>
            <w:tab/>
          </w:r>
          <w:r>
            <w:fldChar w:fldCharType="begin"/>
          </w:r>
          <w:r>
            <w:instrText xml:space="preserve"> PAGEREF _Toc9720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28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28"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28"/>
              <w:lang w:val="zh-CN"/>
            </w:rPr>
            <w:instrText xml:space="preserve"> HYPERLINK \l _Toc29221 </w:instrText>
          </w:r>
          <w:r>
            <w:rPr>
              <w:rFonts w:hint="eastAsia" w:ascii="宋体" w:hAnsi="宋体" w:eastAsia="宋体" w:cs="宋体"/>
              <w:bCs/>
              <w:szCs w:val="28"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4.1.3. 完善企业信息</w:t>
          </w:r>
          <w:r>
            <w:tab/>
          </w:r>
          <w:r>
            <w:fldChar w:fldCharType="begin"/>
          </w:r>
          <w:r>
            <w:instrText xml:space="preserve"> PAGEREF _Toc29221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28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28"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28"/>
              <w:lang w:val="zh-CN"/>
            </w:rPr>
            <w:instrText xml:space="preserve"> HYPERLINK \l _Toc769 </w:instrText>
          </w:r>
          <w:r>
            <w:rPr>
              <w:rFonts w:hint="eastAsia" w:ascii="宋体" w:hAnsi="宋体" w:eastAsia="宋体" w:cs="宋体"/>
              <w:bCs/>
              <w:szCs w:val="28"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4.1.4. CA证书信息查看</w:t>
          </w:r>
          <w:r>
            <w:tab/>
          </w:r>
          <w:r>
            <w:fldChar w:fldCharType="begin"/>
          </w:r>
          <w:r>
            <w:instrText xml:space="preserve"> PAGEREF _Toc769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28"/>
              <w:lang w:val="zh-CN"/>
            </w:rP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28"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28"/>
              <w:lang w:val="zh-CN"/>
            </w:rPr>
            <w:instrText xml:space="preserve"> HYPERLINK \l _Toc52 </w:instrText>
          </w:r>
          <w:r>
            <w:rPr>
              <w:rFonts w:hint="eastAsia" w:ascii="宋体" w:hAnsi="宋体" w:eastAsia="宋体" w:cs="宋体"/>
              <w:bCs/>
              <w:szCs w:val="28"/>
              <w:lang w:val="zh-CN"/>
            </w:rPr>
            <w:fldChar w:fldCharType="separate"/>
          </w:r>
          <w:r>
            <w:rPr>
              <w:rFonts w:hint="eastAsia"/>
            </w:rPr>
            <w:t xml:space="preserve">4.2. </w:t>
          </w:r>
          <w:r>
            <w:rPr>
              <w:rFonts w:hint="eastAsia"/>
              <w:lang w:val="en-US" w:eastAsia="zh-CN"/>
            </w:rPr>
            <w:t>关注项目</w:t>
          </w:r>
          <w:r>
            <w:tab/>
          </w:r>
          <w:r>
            <w:fldChar w:fldCharType="begin"/>
          </w:r>
          <w:r>
            <w:instrText xml:space="preserve"> PAGEREF _Toc52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28"/>
              <w:lang w:val="zh-CN"/>
            </w:rP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28"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28"/>
              <w:lang w:val="zh-CN"/>
            </w:rPr>
            <w:instrText xml:space="preserve"> HYPERLINK \l _Toc2424 </w:instrText>
          </w:r>
          <w:r>
            <w:rPr>
              <w:rFonts w:hint="eastAsia" w:ascii="宋体" w:hAnsi="宋体" w:eastAsia="宋体" w:cs="宋体"/>
              <w:bCs/>
              <w:szCs w:val="28"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4.3. 我的投标项目管理</w:t>
          </w:r>
          <w:r>
            <w:tab/>
          </w:r>
          <w:r>
            <w:fldChar w:fldCharType="begin"/>
          </w:r>
          <w:r>
            <w:instrText xml:space="preserve"> PAGEREF _Toc2424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28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28"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28"/>
              <w:lang w:val="zh-CN"/>
            </w:rPr>
            <w:instrText xml:space="preserve"> HYPERLINK \l _Toc31364 </w:instrText>
          </w:r>
          <w:r>
            <w:rPr>
              <w:rFonts w:hint="eastAsia" w:ascii="宋体" w:hAnsi="宋体" w:eastAsia="宋体" w:cs="宋体"/>
              <w:bCs/>
              <w:szCs w:val="28"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4.3.1. 下载招标文件</w:t>
          </w:r>
          <w:r>
            <w:tab/>
          </w:r>
          <w:r>
            <w:fldChar w:fldCharType="begin"/>
          </w:r>
          <w:r>
            <w:instrText xml:space="preserve"> PAGEREF _Toc31364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28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28"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28"/>
              <w:lang w:val="zh-CN"/>
            </w:rPr>
            <w:instrText xml:space="preserve"> HYPERLINK \l _Toc4742 </w:instrText>
          </w:r>
          <w:r>
            <w:rPr>
              <w:rFonts w:hint="eastAsia" w:ascii="宋体" w:hAnsi="宋体" w:eastAsia="宋体" w:cs="宋体"/>
              <w:bCs/>
              <w:szCs w:val="28"/>
              <w:lang w:val="zh-CN"/>
            </w:rPr>
            <w:fldChar w:fldCharType="separate"/>
          </w:r>
          <w:r>
            <w:rPr>
              <w:rFonts w:hint="eastAsia"/>
              <w:bCs/>
              <w:lang w:val="en-US" w:eastAsia="zh-CN"/>
            </w:rPr>
            <w:t>4.3.2. 递交保证金</w:t>
          </w:r>
          <w:r>
            <w:tab/>
          </w:r>
          <w:r>
            <w:fldChar w:fldCharType="begin"/>
          </w:r>
          <w:r>
            <w:instrText xml:space="preserve"> PAGEREF _Toc4742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28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28"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28"/>
              <w:lang w:val="zh-CN"/>
            </w:rPr>
            <w:instrText xml:space="preserve"> HYPERLINK \l _Toc5120 </w:instrText>
          </w:r>
          <w:r>
            <w:rPr>
              <w:rFonts w:hint="eastAsia" w:ascii="宋体" w:hAnsi="宋体" w:eastAsia="宋体" w:cs="宋体"/>
              <w:bCs/>
              <w:szCs w:val="28"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4.3.3. 递交投标文件</w:t>
          </w:r>
          <w:r>
            <w:tab/>
          </w:r>
          <w:r>
            <w:fldChar w:fldCharType="begin"/>
          </w:r>
          <w:r>
            <w:instrText xml:space="preserve"> PAGEREF _Toc5120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28"/>
              <w:lang w:val="zh-CN"/>
            </w:rP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28"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28"/>
              <w:lang w:val="zh-CN"/>
            </w:rPr>
            <w:instrText xml:space="preserve"> HYPERLINK \l _Toc21063 </w:instrText>
          </w:r>
          <w:r>
            <w:rPr>
              <w:rFonts w:hint="eastAsia" w:ascii="宋体" w:hAnsi="宋体" w:eastAsia="宋体" w:cs="宋体"/>
              <w:bCs/>
              <w:szCs w:val="28"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4.4. 组建联合体</w:t>
          </w:r>
          <w:r>
            <w:tab/>
          </w:r>
          <w:r>
            <w:fldChar w:fldCharType="begin"/>
          </w:r>
          <w:r>
            <w:instrText xml:space="preserve"> PAGEREF _Toc21063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28"/>
              <w:lang w:val="zh-CN"/>
            </w:rPr>
            <w:fldChar w:fldCharType="end"/>
          </w:r>
        </w:p>
        <w:p>
          <w:pPr>
            <w:pStyle w:val="16"/>
            <w:tabs>
              <w:tab w:val="right" w:leader="dot" w:pos="8306"/>
            </w:tabs>
            <w:rPr>
              <w:rFonts w:hint="eastAsia" w:ascii="宋体" w:hAnsi="宋体" w:eastAsia="宋体" w:cs="宋体"/>
              <w:bCs/>
              <w:szCs w:val="28"/>
              <w:lang w:val="zh-CN"/>
            </w:rPr>
          </w:pPr>
        </w:p>
        <w:p>
          <w:pPr>
            <w:pStyle w:val="16"/>
            <w:tabs>
              <w:tab w:val="right" w:leader="dot" w:pos="8306"/>
            </w:tabs>
            <w:rPr>
              <w:color w:val="FF0000"/>
            </w:rPr>
          </w:pPr>
          <w:r>
            <w:rPr>
              <w:rFonts w:hint="eastAsia" w:ascii="宋体" w:hAnsi="宋体" w:eastAsia="宋体" w:cs="宋体"/>
              <w:bCs/>
              <w:color w:val="FF0000"/>
              <w:szCs w:val="28"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color w:val="FF0000"/>
              <w:szCs w:val="28"/>
              <w:lang w:val="zh-CN"/>
            </w:rPr>
            <w:instrText xml:space="preserve"> HYPERLINK \l _Toc12735 </w:instrText>
          </w:r>
          <w:r>
            <w:rPr>
              <w:rFonts w:hint="eastAsia" w:ascii="宋体" w:hAnsi="宋体" w:eastAsia="宋体" w:cs="宋体"/>
              <w:bCs/>
              <w:color w:val="FF0000"/>
              <w:szCs w:val="28"/>
              <w:lang w:val="zh-CN"/>
            </w:rPr>
            <w:fldChar w:fldCharType="separate"/>
          </w:r>
          <w:r>
            <w:rPr>
              <w:rFonts w:hint="eastAsia"/>
              <w:color w:val="FF0000"/>
              <w:lang w:val="en-US" w:eastAsia="zh-CN"/>
            </w:rPr>
            <w:t xml:space="preserve">如有其他问题，请及时联系当地的技术服务人员：0579－83180571 </w:t>
          </w:r>
          <w:r>
            <w:rPr>
              <w:rFonts w:hint="eastAsia" w:ascii="宋体" w:hAnsi="宋体" w:eastAsia="宋体" w:cs="宋体"/>
              <w:bCs/>
              <w:color w:val="FF0000"/>
              <w:szCs w:val="28"/>
              <w:lang w:val="zh-CN"/>
            </w:rPr>
            <w:fldChar w:fldCharType="end"/>
          </w:r>
        </w:p>
        <w:p>
          <w:pPr>
            <w:rPr>
              <w:rFonts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bCs/>
              <w:szCs w:val="28"/>
              <w:lang w:val="zh-CN"/>
            </w:rPr>
            <w:fldChar w:fldCharType="end"/>
          </w:r>
        </w:p>
      </w:sdtContent>
    </w:sdt>
    <w:p>
      <w:pPr>
        <w:spacing w:line="360" w:lineRule="auto"/>
        <w:jc w:val="center"/>
        <w:rPr>
          <w:rFonts w:ascii="华文宋体" w:hAnsi="华文宋体" w:eastAsia="华文宋体"/>
          <w:b/>
          <w:sz w:val="48"/>
        </w:rPr>
      </w:pPr>
    </w:p>
    <w:p>
      <w:pPr>
        <w:rPr>
          <w:rFonts w:ascii="华文宋体" w:hAnsi="华文宋体" w:eastAsia="华文宋体"/>
          <w:b/>
          <w:sz w:val="48"/>
        </w:rPr>
      </w:pPr>
      <w:r>
        <w:rPr>
          <w:rFonts w:ascii="华文宋体" w:hAnsi="华文宋体" w:eastAsia="华文宋体"/>
          <w:b/>
          <w:sz w:val="48"/>
        </w:rPr>
        <w:br w:type="page"/>
      </w:r>
    </w:p>
    <w:p>
      <w:pPr>
        <w:pStyle w:val="2"/>
        <w:bidi w:val="0"/>
        <w:ind w:left="432" w:leftChars="0" w:hanging="432" w:firstLineChars="0"/>
      </w:pPr>
      <w:bookmarkStart w:id="0" w:name="_Toc1985"/>
      <w:r>
        <w:t>编写目的</w:t>
      </w:r>
      <w:bookmarkEnd w:id="0"/>
    </w:p>
    <w:p>
      <w:pPr>
        <w:numPr>
          <w:ilvl w:val="0"/>
          <w:numId w:val="2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本手册主要是对公共资源电子交易平台-建设工程中</w:t>
      </w:r>
      <w:r>
        <w:rPr>
          <w:rFonts w:hint="eastAsia"/>
          <w:color w:val="FF0000"/>
          <w:u w:val="single"/>
          <w:lang w:val="en-US" w:eastAsia="zh-CN"/>
        </w:rPr>
        <w:t>投标人</w:t>
      </w:r>
      <w:r>
        <w:rPr>
          <w:rFonts w:hint="eastAsia"/>
          <w:lang w:val="en-US" w:eastAsia="zh-CN"/>
        </w:rPr>
        <w:t>角色的主要功能和操作界面作简要说明。</w:t>
      </w:r>
    </w:p>
    <w:p>
      <w:pPr>
        <w:numPr>
          <w:ilvl w:val="0"/>
          <w:numId w:val="2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请系统使用者务必认真阅读此手册，以便能够准确高效的完成相关的操作。</w:t>
      </w:r>
    </w:p>
    <w:p>
      <w:pPr>
        <w:numPr>
          <w:ilvl w:val="0"/>
          <w:numId w:val="2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本手册的预期阅读对象为：投标人。 </w:t>
      </w:r>
    </w:p>
    <w:p>
      <w:pPr>
        <w:numPr>
          <w:ilvl w:val="0"/>
          <w:numId w:val="2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系统登录地址：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"https://gcjs.ggzyjy.jinhua.gov.cn:5443/gbweb/#/login"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21"/>
          <w:rFonts w:hint="eastAsia" w:ascii="华文宋体" w:hAnsi="华文宋体" w:eastAsia="华文宋体" w:cs="华文宋体"/>
          <w:kern w:val="2"/>
          <w:szCs w:val="24"/>
          <w:lang w:val="en-US" w:eastAsia="zh-CN" w:bidi="ar-SA"/>
        </w:rPr>
        <w:t>https://gcjs.ggzyjy.jinhua.gov.cn:5443/gbweb/#/login</w:t>
      </w:r>
      <w:r>
        <w:rPr>
          <w:rFonts w:hint="eastAsia"/>
          <w:lang w:val="en-US" w:eastAsia="zh-CN"/>
        </w:rPr>
        <w:fldChar w:fldCharType="end"/>
      </w:r>
    </w:p>
    <w:p>
      <w:pPr>
        <w:numPr>
          <w:ilvl w:val="0"/>
          <w:numId w:val="2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注意事项：目前常用的360，edge、谷歌浏览器均可使用，若其他浏览器使用过程中发现异常请及时联系技术服务人员。</w:t>
      </w:r>
    </w:p>
    <w:p>
      <w:pPr>
        <w:pStyle w:val="2"/>
        <w:bidi w:val="0"/>
        <w:rPr>
          <w:rFonts w:hint="eastAsia"/>
          <w:lang w:val="en-US" w:eastAsia="zh-CN"/>
        </w:rPr>
      </w:pPr>
      <w:bookmarkStart w:id="1" w:name="_Toc15412"/>
      <w:r>
        <w:rPr>
          <w:rFonts w:hint="eastAsia"/>
          <w:lang w:val="en-US" w:eastAsia="zh-CN"/>
        </w:rPr>
        <w:t>重要事项</w:t>
      </w:r>
      <w:bookmarkEnd w:id="1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本系统引入了招标人，招标人是项目的发起人，在系统内指定项目的招标代理机构，对项目全流程监控，并参与中标通知书发放、保证金退款审核、异议答复等流程；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本系统中的项目、招标项目、标段紧密关联：一个工程项目下包含多个招标项目（如勘察、设计、施工等分别招标），一个招标项目下可包含多个同类型标段（比如施工标段1，施工2、、、）；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标段编号是A3307010780000001001001，前11位交易平台编码，前17位是项目编号，前20位是招标项目编号。</w:t>
      </w:r>
    </w:p>
    <w:p>
      <w:pPr>
        <w:pStyle w:val="2"/>
        <w:bidi w:val="0"/>
        <w:ind w:left="432" w:leftChars="0" w:hanging="432" w:firstLineChars="0"/>
      </w:pPr>
      <w:bookmarkStart w:id="2" w:name="_Toc27706"/>
      <w:r>
        <w:rPr>
          <w:rFonts w:hint="eastAsia"/>
        </w:rPr>
        <w:t>业务流程</w:t>
      </w:r>
      <w:bookmarkEnd w:id="2"/>
    </w:p>
    <w:p>
      <w:pPr>
        <w:bidi w:val="0"/>
        <w:ind w:left="0" w:leftChars="0" w:firstLine="0" w:firstLineChars="0"/>
      </w:pPr>
      <w:r>
        <w:rPr>
          <w:rFonts w:hint="eastAsia"/>
        </w:rPr>
        <w:drawing>
          <wp:inline distT="0" distB="0" distL="114300" distR="114300">
            <wp:extent cx="6188710" cy="4359275"/>
            <wp:effectExtent l="0" t="0" r="2540" b="3175"/>
            <wp:docPr id="96" name="图片 96" descr="金华工程建设业务流程图V2.0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金华工程建设业务流程图V2.0_00"/>
                    <pic:cNvPicPr>
                      <a:picLocks noChangeAspect="1"/>
                    </pic:cNvPicPr>
                  </pic:nvPicPr>
                  <pic:blipFill>
                    <a:blip r:embed="rId10"/>
                    <a:srcRect b="6686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35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left="0" w:leftChars="0" w:firstLine="0" w:firstLineChars="0"/>
      </w:pPr>
      <w:r>
        <w:rPr>
          <w:rFonts w:hint="eastAsia"/>
        </w:rPr>
        <w:drawing>
          <wp:inline distT="0" distB="0" distL="114300" distR="114300">
            <wp:extent cx="5999480" cy="8645525"/>
            <wp:effectExtent l="0" t="0" r="1270" b="3175"/>
            <wp:docPr id="92" name="图片 92" descr="金华工程建设业务流程图V2.0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 descr="金华工程建设业务流程图V2.0_00"/>
                    <pic:cNvPicPr>
                      <a:picLocks noChangeAspect="1"/>
                    </pic:cNvPicPr>
                  </pic:nvPicPr>
                  <pic:blipFill>
                    <a:blip r:embed="rId10"/>
                    <a:srcRect t="32208"/>
                    <a:stretch>
                      <a:fillRect/>
                    </a:stretch>
                  </pic:blipFill>
                  <pic:spPr>
                    <a:xfrm>
                      <a:off x="0" y="0"/>
                      <a:ext cx="5999480" cy="864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bidi w:val="0"/>
        <w:ind w:left="432" w:leftChars="0" w:hanging="432" w:firstLineChars="0"/>
      </w:pPr>
      <w:bookmarkStart w:id="3" w:name="_Toc11641"/>
      <w:r>
        <w:t>业务指南</w:t>
      </w:r>
      <w:bookmarkEnd w:id="3"/>
    </w:p>
    <w:p>
      <w:pPr>
        <w:pStyle w:val="3"/>
        <w:bidi w:val="0"/>
        <w:ind w:left="575" w:leftChars="0" w:hanging="575" w:firstLineChars="0"/>
      </w:pPr>
      <w:bookmarkStart w:id="4" w:name="_Toc2423"/>
      <w:r>
        <w:rPr>
          <w:rFonts w:hint="eastAsia"/>
          <w:lang w:val="en-US" w:eastAsia="zh-CN"/>
        </w:rPr>
        <w:t>主体库注册及维护</w:t>
      </w:r>
      <w:bookmarkEnd w:id="4"/>
    </w:p>
    <w:p>
      <w:pPr>
        <w:pStyle w:val="4"/>
        <w:bidi w:val="0"/>
        <w:ind w:left="720" w:leftChars="0" w:hanging="720" w:firstLineChars="0"/>
        <w:rPr>
          <w:rFonts w:hint="eastAsia"/>
        </w:rPr>
      </w:pPr>
      <w:bookmarkStart w:id="5" w:name="_Toc6967"/>
      <w:r>
        <w:rPr>
          <w:rFonts w:hint="eastAsia"/>
          <w:lang w:val="en-US" w:eastAsia="zh-CN"/>
        </w:rPr>
        <w:t>账号注册</w:t>
      </w:r>
      <w:bookmarkEnd w:id="5"/>
    </w:p>
    <w:p>
      <w:pPr>
        <w:bidi w:val="0"/>
        <w:ind w:left="0" w:leftChars="0" w:firstLine="480" w:firstLineChars="200"/>
        <w:rPr>
          <w:rFonts w:hint="eastAsia"/>
        </w:rPr>
      </w:pPr>
      <w:r>
        <w:rPr>
          <w:rFonts w:hint="eastAsia"/>
          <w:lang w:val="en-US" w:eastAsia="zh-CN"/>
        </w:rPr>
        <w:t>未注册的企业，</w:t>
      </w:r>
      <w:r>
        <w:rPr>
          <w:rFonts w:hint="eastAsia"/>
        </w:rPr>
        <w:t>点击【注册</w:t>
      </w:r>
      <w:r>
        <w:rPr>
          <w:rFonts w:hint="eastAsia"/>
          <w:lang w:val="en-US" w:eastAsia="zh-CN"/>
        </w:rPr>
        <w:t>新用户</w:t>
      </w:r>
      <w:r>
        <w:rPr>
          <w:rFonts w:hint="eastAsia"/>
        </w:rPr>
        <w:t>】</w:t>
      </w:r>
      <w:r>
        <w:rPr>
          <w:rFonts w:hint="eastAsia"/>
          <w:lang w:eastAsia="zh-CN"/>
        </w:rPr>
        <w:t>，</w:t>
      </w:r>
      <w:r>
        <w:rPr>
          <w:rFonts w:hint="eastAsia"/>
        </w:rPr>
        <w:t>如下图所示：</w:t>
      </w:r>
    </w:p>
    <w:p>
      <w:pPr>
        <w:ind w:left="0" w:leftChars="0" w:firstLine="0" w:firstLineChars="0"/>
        <w:jc w:val="left"/>
      </w:pPr>
      <w:r>
        <w:drawing>
          <wp:inline distT="0" distB="0" distL="114300" distR="114300">
            <wp:extent cx="5271135" cy="2794000"/>
            <wp:effectExtent l="0" t="0" r="5715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账号注册需要输入法人机构名称、统一社会信用代码，用户名、密码（</w:t>
      </w:r>
      <w:r>
        <w:rPr>
          <w:rFonts w:ascii="微软雅黑" w:hAnsi="微软雅黑" w:eastAsia="微软雅黑" w:cs="微软雅黑"/>
          <w:i w:val="0"/>
          <w:iCs w:val="0"/>
          <w:caps w:val="0"/>
          <w:color w:val="FF4B53"/>
          <w:spacing w:val="0"/>
          <w:sz w:val="21"/>
          <w:szCs w:val="21"/>
          <w:shd w:val="clear" w:fill="FFFFFF"/>
        </w:rPr>
        <w:t>密码由8-20个字符，字母、数字和符号组合</w:t>
      </w:r>
      <w:r>
        <w:rPr>
          <w:rFonts w:hint="eastAsia"/>
          <w:lang w:val="en-US" w:eastAsia="zh-CN"/>
        </w:rPr>
        <w:t>），联系人，手机号码，其中机构名称、信用代码、用户名、手机号码都会校验唯一性。</w:t>
      </w:r>
    </w:p>
    <w:p>
      <w:pPr>
        <w:ind w:left="0" w:leftChars="0" w:firstLine="0" w:firstLineChars="0"/>
        <w:jc w:val="left"/>
      </w:pPr>
      <w:r>
        <w:drawing>
          <wp:inline distT="0" distB="0" distL="114300" distR="114300">
            <wp:extent cx="5274310" cy="3762375"/>
            <wp:effectExtent l="0" t="0" r="2540" b="9525"/>
            <wp:docPr id="10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ind w:left="720" w:leftChars="0" w:hanging="720" w:firstLineChars="0"/>
        <w:rPr>
          <w:rFonts w:hint="eastAsia"/>
          <w:lang w:val="en-US" w:eastAsia="zh-CN"/>
        </w:rPr>
      </w:pPr>
      <w:bookmarkStart w:id="6" w:name="_Toc3328"/>
      <w:bookmarkStart w:id="7" w:name="_Toc9720"/>
      <w:r>
        <w:rPr>
          <w:rFonts w:hint="eastAsia"/>
          <w:lang w:val="en-US" w:eastAsia="zh-CN"/>
        </w:rPr>
        <w:t>登录</w:t>
      </w:r>
      <w:bookmarkEnd w:id="6"/>
      <w:bookmarkEnd w:id="7"/>
    </w:p>
    <w:p>
      <w:pPr>
        <w:ind w:firstLine="480" w:firstLineChars="200"/>
        <w:rPr>
          <w:rFonts w:hint="default" w:ascii="华文宋体" w:hAnsi="华文宋体" w:eastAsia="华文宋体" w:cs="华文宋体"/>
          <w:kern w:val="2"/>
          <w:sz w:val="24"/>
          <w:szCs w:val="24"/>
          <w:lang w:val="en-US" w:eastAsia="zh-CN" w:bidi="ar-SA"/>
        </w:rPr>
      </w:pPr>
      <w:r>
        <w:rPr>
          <w:rFonts w:hint="eastAsia" w:ascii="华文宋体" w:hAnsi="华文宋体" w:eastAsia="华文宋体" w:cs="华文宋体"/>
          <w:kern w:val="2"/>
          <w:sz w:val="24"/>
          <w:szCs w:val="24"/>
          <w:lang w:val="en-US" w:eastAsia="zh-CN" w:bidi="ar-SA"/>
        </w:rPr>
        <w:t>CA登录：默认CA登录，前提是该企业已经在主体库绑定了CA锁，不用输入密码，点击登录直接校验插的CA信息是否正常，直接登录该企业。（CA锁驱动在登录界面可下载）。</w:t>
      </w:r>
    </w:p>
    <w:p>
      <w:pPr>
        <w:ind w:firstLine="480" w:firstLineChars="200"/>
      </w:pPr>
      <w:r>
        <w:rPr>
          <w:rFonts w:hint="eastAsia" w:ascii="华文宋体" w:hAnsi="华文宋体" w:eastAsia="华文宋体" w:cs="华文宋体"/>
          <w:kern w:val="2"/>
          <w:sz w:val="24"/>
          <w:szCs w:val="24"/>
          <w:lang w:val="en-US" w:eastAsia="zh-CN" w:bidi="ar-SA"/>
        </w:rPr>
        <w:t>账号登录：注册成功账号后，切换至账号登录，输入账号密码及验证码实现登录。初次登录需要完善企业注册信息。</w:t>
      </w:r>
    </w:p>
    <w:p>
      <w:pPr>
        <w:pStyle w:val="4"/>
        <w:bidi w:val="0"/>
        <w:ind w:left="720" w:leftChars="0" w:hanging="720" w:firstLineChars="0"/>
        <w:rPr>
          <w:rFonts w:hint="default"/>
          <w:lang w:val="en-US" w:eastAsia="zh-CN"/>
        </w:rPr>
      </w:pPr>
      <w:bookmarkStart w:id="8" w:name="_Toc29221"/>
      <w:r>
        <w:rPr>
          <w:rFonts w:hint="eastAsia"/>
          <w:lang w:val="en-US" w:eastAsia="zh-CN"/>
        </w:rPr>
        <w:t>完善企业信息</w:t>
      </w:r>
      <w:bookmarkEnd w:id="8"/>
    </w:p>
    <w:p>
      <w:pPr>
        <w:rPr>
          <w:rFonts w:hint="eastAsia"/>
          <w:lang w:val="en-US" w:eastAsia="zh-CN"/>
        </w:rPr>
      </w:pPr>
      <w:bookmarkStart w:id="9" w:name="_企业基本信息完善"/>
      <w:bookmarkEnd w:id="9"/>
      <w:r>
        <w:rPr>
          <w:rFonts w:hint="eastAsia"/>
          <w:lang w:val="en-US" w:eastAsia="zh-CN"/>
        </w:rPr>
        <w:t>【基本信息】是所有角色（招标人、招标代理和投标人）的企业都需要完善的，除基本信息之外，投标人还必须要完善：CA证书信息查看。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法人结构名称：填写企业名称；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法人角色：目前支持招标人，招标代理，投标人，如果选择多个，需要切换角色才能使用对应的功能；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7960" cy="835660"/>
            <wp:effectExtent l="0" t="0" r="8890" b="2540"/>
            <wp:docPr id="1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对公账户：填写保证金打款或电子保函付款的账户名称及账户，基本户支行开户号随便填个数字都行（后面会删掉这个参数），基本户账户名称默认是和企业名称一致。</w:t>
      </w:r>
    </w:p>
    <w:p>
      <w:pPr>
        <w:ind w:left="0" w:leftChars="0" w:firstLine="482" w:firstLineChars="200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资质信息、人员管理、法人信用管理里的业绩管理财务状况管理获奖管理违法记录、用户管理都暂时不需要投标人填写。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72405" cy="2543175"/>
            <wp:effectExtent l="0" t="0" r="444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880" cy="2084070"/>
            <wp:effectExtent l="0" t="0" r="13970" b="1143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bookmarkStart w:id="10" w:name="_Toc769"/>
      <w:r>
        <w:rPr>
          <w:rFonts w:hint="eastAsia"/>
          <w:lang w:val="en-US" w:eastAsia="zh-CN"/>
        </w:rPr>
        <w:t>CA证书信息查看</w:t>
      </w:r>
      <w:bookmarkEnd w:id="10"/>
    </w:p>
    <w:p>
      <w:pPr>
        <w:ind w:left="0" w:leftChars="0" w:firstLine="480" w:firstLineChars="20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投标人需要绑定自己的CA锁，以便递交投标文件时检验CA。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6690" cy="2550160"/>
            <wp:effectExtent l="0" t="0" r="10160" b="2540"/>
            <wp:docPr id="1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</w:rPr>
      </w:pPr>
      <w:bookmarkStart w:id="11" w:name="_Toc52"/>
      <w:r>
        <w:rPr>
          <w:rFonts w:hint="eastAsia"/>
          <w:lang w:val="en-US" w:eastAsia="zh-CN"/>
        </w:rPr>
        <w:t>关注项目</w:t>
      </w:r>
      <w:bookmarkEnd w:id="11"/>
    </w:p>
    <w:p>
      <w:pPr>
        <w:ind w:left="0" w:leftChars="0" w:firstLine="0" w:firstLineChars="0"/>
      </w:pPr>
      <w:r>
        <w:drawing>
          <wp:inline distT="0" distB="0" distL="114300" distR="114300">
            <wp:extent cx="5272405" cy="2779395"/>
            <wp:effectExtent l="0" t="0" r="4445" b="190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7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425" w:leftChars="0" w:hanging="425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公告大厅分公开招标公告和投标邀请书两大类，默认展示公开招标标段列表；</w:t>
      </w:r>
    </w:p>
    <w:p>
      <w:pPr>
        <w:numPr>
          <w:ilvl w:val="0"/>
          <w:numId w:val="3"/>
        </w:numPr>
        <w:ind w:left="425" w:leftChars="0" w:hanging="425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代理发布了招标公告后，该页面出现该标段，到了【招标文件获取开始时间】的标段才有【关注】和【查看公告】按钮；</w:t>
      </w:r>
    </w:p>
    <w:p>
      <w:pPr>
        <w:numPr>
          <w:ilvl w:val="0"/>
          <w:numId w:val="3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关注了的标段，才会进入【我的投标项目管理】菜单里，关注时只需要填写参与相关信息：投标联系人、项目负责人、项目委托人、是否联合体；</w:t>
      </w:r>
    </w:p>
    <w:p>
      <w:pPr>
        <w:numPr>
          <w:ilvl w:val="0"/>
          <w:numId w:val="3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若该标段允许联合体投标，则【是否联合体投标】是可以选择的，当选择联合体投标时，需要选择已经组建好的联合体；组建联合体有单独的菜单。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2405" cy="2779395"/>
            <wp:effectExtent l="0" t="0" r="4445" b="190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7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当项目不是法定代表人自己来投标时，就存在委托人，委托人信息和委托人授权书需要填写；</w:t>
      </w:r>
    </w:p>
    <w:p>
      <w:pPr>
        <w:numPr>
          <w:ilvl w:val="0"/>
          <w:numId w:val="3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查看公告：用来查看招标公告、招标文件和澄清与答疑文件，了解项目基本情况后，投标人可以决定是否关注参与该标段。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2779395"/>
            <wp:effectExtent l="0" t="0" r="4445" b="190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7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修改：关注提交后，按钮变成了修改，在投标截止时间之前，都可以修改关注信息。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12" w:name="_Toc2424"/>
      <w:r>
        <w:rPr>
          <w:rFonts w:hint="eastAsia"/>
          <w:lang w:val="en-US" w:eastAsia="zh-CN"/>
        </w:rPr>
        <w:t>我的投标项目管理</w:t>
      </w:r>
      <w:bookmarkEnd w:id="12"/>
    </w:p>
    <w:p>
      <w:pPr>
        <w:ind w:left="0" w:leftChars="0" w:firstLine="48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投标人在该界面完成所有投标操作，重点包含：下载招标文件，查看补充文件、递交保证金、递交投标文件、查看中标候选人公示、查看中标结果公告、下载中标通知书/招标结果通知书。</w:t>
      </w: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2779395"/>
            <wp:effectExtent l="0" t="0" r="4445" b="1905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7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投标关注</w:t>
      </w:r>
      <w:r>
        <w:rPr>
          <w:rFonts w:hint="eastAsia"/>
          <w:lang w:val="en-US" w:eastAsia="zh-CN"/>
        </w:rPr>
        <w:t>：此处依然可以【查看】或【修改】关注时填写的信息；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招标公告</w:t>
      </w:r>
      <w:r>
        <w:rPr>
          <w:rFonts w:hint="eastAsia"/>
          <w:lang w:val="en-US" w:eastAsia="zh-CN"/>
        </w:rPr>
        <w:t>：查看该项目的招标公告pdf文件；</w:t>
      </w:r>
    </w:p>
    <w:p>
      <w:pPr>
        <w:pStyle w:val="4"/>
        <w:bidi w:val="0"/>
        <w:rPr>
          <w:rFonts w:hint="eastAsia"/>
          <w:lang w:val="en-US" w:eastAsia="zh-CN"/>
        </w:rPr>
      </w:pPr>
      <w:bookmarkStart w:id="13" w:name="_Toc31364"/>
      <w:r>
        <w:rPr>
          <w:rFonts w:hint="eastAsia"/>
          <w:lang w:val="en-US" w:eastAsia="zh-CN"/>
        </w:rPr>
        <w:t>下载招标文件</w:t>
      </w:r>
      <w:bookmarkEnd w:id="13"/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color w:val="FF0000"/>
          <w:lang w:val="en-US" w:eastAsia="zh-CN"/>
        </w:rPr>
        <w:t>只有下载的招标文件，才会出现递交投标文件的按钮；</w:t>
      </w:r>
      <w:r>
        <w:rPr>
          <w:rFonts w:hint="eastAsia"/>
          <w:lang w:val="en-US" w:eastAsia="zh-CN"/>
        </w:rPr>
        <w:t>点击【下载】弹窗出招标文件所有文件，只要有一个文件下载了就算已经下载了招标文件。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提问</w:t>
      </w:r>
      <w:r>
        <w:rPr>
          <w:rFonts w:hint="eastAsia"/>
          <w:lang w:val="en-US" w:eastAsia="zh-CN"/>
        </w:rPr>
        <w:t>：投标人可以对投标文件有疑问的向招标代理提出，这个不是异议，招标代理可以回复可以不回复；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澄清与答疑</w:t>
      </w:r>
      <w:r>
        <w:rPr>
          <w:rFonts w:hint="eastAsia"/>
          <w:lang w:val="en-US" w:eastAsia="zh-CN"/>
        </w:rPr>
        <w:t>：招标代理发布了【澄清与答疑】，投标人可在这里查看下载（包括招标代理更新的电子招标文件，如有）；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补充文件</w:t>
      </w:r>
      <w:r>
        <w:rPr>
          <w:rFonts w:hint="eastAsia"/>
          <w:lang w:val="en-US" w:eastAsia="zh-CN"/>
        </w:rPr>
        <w:t>：招标代理招标代理发布了【澄清与答疑】，会将答疑的内容以补充文件pdf格式发出，投标人可查看下载；</w:t>
      </w:r>
    </w:p>
    <w:p>
      <w:pPr>
        <w:pStyle w:val="4"/>
        <w:bidi w:val="0"/>
        <w:rPr>
          <w:rStyle w:val="25"/>
          <w:rFonts w:hint="eastAsia"/>
          <w:b/>
          <w:bCs/>
          <w:lang w:val="en-US" w:eastAsia="zh-CN"/>
        </w:rPr>
      </w:pPr>
      <w:bookmarkStart w:id="14" w:name="_Toc4742"/>
      <w:r>
        <w:rPr>
          <w:rStyle w:val="25"/>
          <w:rFonts w:hint="eastAsia"/>
          <w:b/>
          <w:bCs/>
          <w:lang w:val="en-US" w:eastAsia="zh-CN"/>
        </w:rPr>
        <w:t>递交保证金</w:t>
      </w:r>
      <w:bookmarkEnd w:id="14"/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系统保证金支持银行转账、电子保函、信用免交、线下纸质，信用免交和线下纸质保函是否使用以及使用看招标文件相关规定。目前四种缴纳方式可重复使用，没有限制其中一个成功另外一个就不能用了。</w:t>
      </w:r>
    </w:p>
    <w:p>
      <w:pPr>
        <w:bidi w:val="0"/>
        <w:ind w:left="480" w:leftChars="0" w:hanging="480" w:hangingChars="20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4785" cy="196215"/>
            <wp:effectExtent l="12700" t="12700" r="18415" b="19685"/>
            <wp:docPr id="4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96215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t>银行转账</w:t>
      </w:r>
      <w:r>
        <w:rPr>
          <w:rFonts w:hint="eastAsia"/>
          <w:lang w:val="en-US" w:eastAsia="zh-CN"/>
        </w:rPr>
        <w:t>：点击会弹窗缴纳订单，投标人选择一个子账号打入保证金；</w:t>
      </w:r>
    </w:p>
    <w:p>
      <w:pPr>
        <w:bidi w:val="0"/>
        <w:ind w:left="480" w:leftChars="200" w:firstLine="0" w:firstLineChars="0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转账查询</w:t>
      </w:r>
      <w:r>
        <w:rPr>
          <w:rFonts w:hint="eastAsia"/>
          <w:lang w:val="en-US" w:eastAsia="zh-CN"/>
        </w:rPr>
        <w:t>：系统不会显示保证金缴纳结果，投标人可以输入手机号、保证金</w:t>
      </w:r>
    </w:p>
    <w:p>
      <w:p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收款银行及基本户账号进行查询，银行会将缴纳结果通过短信的方式发送给提交的手机号。</w:t>
      </w:r>
    </w:p>
    <w:p>
      <w:pPr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  <w:r>
        <w:rPr>
          <w:rFonts w:hint="eastAsia"/>
          <w:b/>
          <w:bCs/>
          <w:lang w:val="en-US" w:eastAsia="zh-CN"/>
        </w:rPr>
        <w:t xml:space="preserve"> 电子保函</w:t>
      </w:r>
      <w:r>
        <w:rPr>
          <w:rFonts w:hint="eastAsia"/>
          <w:lang w:val="en-US" w:eastAsia="zh-CN"/>
        </w:rPr>
        <w:t>：点击我要投保，跳转新的链接，选择一个金融机构申请保函保险保单。申请成功后，可点击保函查询查询保函的申请状态。</w:t>
      </w:r>
    </w:p>
    <w:p>
      <w:pPr>
        <w:bidi w:val="0"/>
        <w:ind w:left="480" w:leftChars="0" w:hanging="480" w:hangingChars="200"/>
      </w:pPr>
      <w:r>
        <w:drawing>
          <wp:inline distT="0" distB="0" distL="114300" distR="114300">
            <wp:extent cx="4742180" cy="2359025"/>
            <wp:effectExtent l="0" t="0" r="1270" b="3175"/>
            <wp:docPr id="10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42180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189095" cy="2343785"/>
            <wp:effectExtent l="0" t="0" r="1905" b="18415"/>
            <wp:docPr id="10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89095" cy="234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left="480" w:leftChars="200" w:firstLine="0" w:firstLineChars="0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信用免交</w:t>
      </w:r>
      <w:r>
        <w:rPr>
          <w:rFonts w:hint="eastAsia"/>
          <w:lang w:val="en-US" w:eastAsia="zh-CN"/>
        </w:rPr>
        <w:t>：若该标段的招标文件写明，该标段允许信用免交，请投标人注意</w:t>
      </w:r>
    </w:p>
    <w:p>
      <w:p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查看招标文件中信用免交的要求，看看自己企业是否满足；</w:t>
      </w:r>
    </w:p>
    <w:p>
      <w:pPr>
        <w:bidi w:val="0"/>
        <w:ind w:left="0" w:leftChars="0" w:firstLine="482" w:firstLineChars="200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纸质保函</w:t>
      </w:r>
      <w:r>
        <w:rPr>
          <w:rFonts w:hint="eastAsia"/>
          <w:lang w:val="en-US" w:eastAsia="zh-CN"/>
        </w:rPr>
        <w:t>：若该标段的招标文件写明，该标段允许使用线下纸质保函，请投标人注意查看招标文件中纸质保函相关要求。</w:t>
      </w:r>
    </w:p>
    <w:p>
      <w:pPr>
        <w:pStyle w:val="4"/>
        <w:bidi w:val="0"/>
        <w:rPr>
          <w:rFonts w:hint="eastAsia"/>
          <w:lang w:val="en-US" w:eastAsia="zh-CN"/>
        </w:rPr>
      </w:pPr>
      <w:bookmarkStart w:id="15" w:name="_Toc5120"/>
      <w:r>
        <w:rPr>
          <w:rFonts w:hint="eastAsia"/>
          <w:lang w:val="en-US" w:eastAsia="zh-CN"/>
        </w:rPr>
        <w:t>递交投标文件</w:t>
      </w:r>
      <w:bookmarkEnd w:id="15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只有下载了标书，才出现【递交】按钮；注意标书格式</w:t>
      </w:r>
      <w:r>
        <w:rPr>
          <w:rFonts w:ascii="微软雅黑" w:hAnsi="微软雅黑" w:eastAsia="微软雅黑" w:cs="微软雅黑"/>
          <w:i w:val="0"/>
          <w:iCs w:val="0"/>
          <w:caps w:val="0"/>
          <w:color w:val="FF0000"/>
          <w:spacing w:val="0"/>
          <w:sz w:val="21"/>
          <w:szCs w:val="21"/>
          <w:shd w:val="clear" w:fill="FFFFFF"/>
        </w:rPr>
        <w:t>.JhTbs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1"/>
          <w:szCs w:val="21"/>
          <w:shd w:val="clear" w:fill="FFFFFF"/>
          <w:lang w:eastAsia="zh-CN"/>
        </w:rPr>
        <w:t>，</w:t>
      </w:r>
      <w:r>
        <w:rPr>
          <w:rFonts w:hint="eastAsia"/>
          <w:lang w:val="en-US" w:eastAsia="zh-CN"/>
        </w:rPr>
        <w:t>有备份标书也可以上传，但格式限制为.JhBfTbs。递交之后按钮变为【撤回】。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查看递交历史</w:t>
      </w:r>
      <w:r>
        <w:rPr>
          <w:rFonts w:hint="eastAsia"/>
          <w:lang w:val="en-US" w:eastAsia="zh-CN"/>
        </w:rPr>
        <w:t>：可以查看下载每次递交和撤回的投标文件。</w:t>
      </w:r>
    </w:p>
    <w:p>
      <w:pPr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1089660"/>
            <wp:effectExtent l="0" t="0" r="5715" b="15240"/>
            <wp:docPr id="10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中标候选人公示、定标结果公示、中标结果公告</w:t>
      </w:r>
      <w:r>
        <w:rPr>
          <w:rFonts w:hint="eastAsia"/>
          <w:lang w:val="en-US" w:eastAsia="zh-CN"/>
        </w:rPr>
        <w:t>：招标代理完成了该步骤后，所有参与该标段的投标人可以查看公示公告。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中标通知书</w:t>
      </w:r>
      <w:r>
        <w:rPr>
          <w:rFonts w:hint="eastAsia"/>
          <w:lang w:val="en-US" w:eastAsia="zh-CN"/>
        </w:rPr>
        <w:t>：招标人发布了中标通知书后，中标人可下载中标通知书，非中标人可下载招标结果通知书。</w:t>
      </w:r>
    </w:p>
    <w:p>
      <w:pPr>
        <w:pStyle w:val="3"/>
        <w:bidi w:val="0"/>
        <w:rPr>
          <w:rFonts w:hint="default"/>
          <w:lang w:val="en-US" w:eastAsia="zh-CN"/>
        </w:rPr>
      </w:pPr>
      <w:bookmarkStart w:id="16" w:name="_Toc21063"/>
      <w:r>
        <w:rPr>
          <w:rFonts w:hint="eastAsia"/>
          <w:lang w:val="en-US" w:eastAsia="zh-CN"/>
        </w:rPr>
        <w:t>组建联合体</w:t>
      </w:r>
      <w:bookmarkEnd w:id="16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若标段允许使用联合体投标，需要在此处组建联合体，在关注项目的时候，选择已经组建的联合体。</w:t>
      </w:r>
    </w:p>
    <w:p>
      <w:r>
        <w:drawing>
          <wp:inline distT="0" distB="0" distL="114300" distR="114300">
            <wp:extent cx="5272405" cy="2779395"/>
            <wp:effectExtent l="0" t="0" r="4445" b="1905"/>
            <wp:docPr id="1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7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0"/>
        </w:numPr>
        <w:bidi w:val="0"/>
        <w:ind w:leftChars="0"/>
      </w:pPr>
      <w:bookmarkStart w:id="17" w:name="_Toc12735"/>
      <w:r>
        <w:rPr>
          <w:rFonts w:hint="eastAsia"/>
          <w:lang w:val="en-US" w:eastAsia="zh-CN"/>
        </w:rPr>
        <w:t>如有其他问题，请及时联系当地的技术服务人员：0579－83180571</w:t>
      </w:r>
      <w:bookmarkEnd w:id="17"/>
    </w:p>
    <w:p>
      <w:bookmarkStart w:id="18" w:name="_GoBack"/>
      <w:bookmarkEnd w:id="18"/>
    </w:p>
    <w:sectPr>
      <w:headerReference r:id="rId5" w:type="default"/>
      <w:footerReference r:id="rId7" w:type="default"/>
      <w:headerReference r:id="rId6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84882318"/>
    </w:sdtPr>
    <w:sdtContent>
      <w:p>
        <w:pPr>
          <w:pStyle w:val="13"/>
          <w:jc w:val="center"/>
        </w:pPr>
        <w:r>
          <w:rPr>
            <w:rFonts w:ascii="宋体" w:hAnsi="宋体" w:eastAsia="宋体"/>
            <w:sz w:val="21"/>
            <w:szCs w:val="21"/>
          </w:rPr>
          <w:fldChar w:fldCharType="begin"/>
        </w:r>
        <w:r>
          <w:rPr>
            <w:rFonts w:ascii="宋体" w:hAnsi="宋体" w:eastAsia="宋体"/>
            <w:sz w:val="21"/>
            <w:szCs w:val="21"/>
          </w:rPr>
          <w:instrText xml:space="preserve">PAGE   \* MERGEFORMAT</w:instrText>
        </w:r>
        <w:r>
          <w:rPr>
            <w:rFonts w:ascii="宋体" w:hAnsi="宋体" w:eastAsia="宋体"/>
            <w:sz w:val="21"/>
            <w:szCs w:val="21"/>
          </w:rPr>
          <w:fldChar w:fldCharType="separate"/>
        </w:r>
        <w:r>
          <w:rPr>
            <w:rFonts w:ascii="宋体" w:hAnsi="宋体" w:eastAsia="宋体"/>
            <w:sz w:val="21"/>
            <w:szCs w:val="21"/>
            <w:lang w:val="zh-CN"/>
          </w:rPr>
          <w:t>2</w:t>
        </w:r>
        <w:r>
          <w:rPr>
            <w:rFonts w:ascii="宋体" w:hAnsi="宋体" w:eastAsia="宋体"/>
            <w:sz w:val="21"/>
            <w:szCs w:val="21"/>
          </w:rPr>
          <w:fldChar w:fldCharType="end"/>
        </w:r>
      </w:p>
    </w:sdtContent>
  </w:sdt>
  <w:p>
    <w:pPr>
      <w:pStyle w:val="1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rPr>
        <w:rFonts w:hint="eastAsia" w:ascii="宋体" w:hAnsi="宋体" w:eastAsia="宋体"/>
        <w:sz w:val="21"/>
        <w:szCs w:val="21"/>
        <w:lang w:val="en-US" w:eastAsia="zh-CN"/>
      </w:rPr>
    </w:pPr>
    <w:r>
      <w:rPr>
        <w:rFonts w:hint="eastAsia" w:ascii="宋体" w:hAnsi="宋体" w:eastAsia="宋体"/>
        <w:sz w:val="21"/>
        <w:szCs w:val="21"/>
      </w:rPr>
      <w:t>金华市市县一体公共资源全流程电子交易综合系统—</w:t>
    </w:r>
    <w:r>
      <w:rPr>
        <w:rFonts w:hint="eastAsia" w:ascii="宋体" w:hAnsi="宋体"/>
        <w:sz w:val="21"/>
        <w:szCs w:val="21"/>
        <w:lang w:val="en-US" w:eastAsia="zh-CN"/>
      </w:rPr>
      <w:t>投标人</w:t>
    </w:r>
  </w:p>
  <w:p>
    <w:pPr>
      <w:pStyle w:val="14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F831765"/>
    <w:multiLevelType w:val="singleLevel"/>
    <w:tmpl w:val="EF831765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04650F7A"/>
    <w:multiLevelType w:val="multilevel"/>
    <w:tmpl w:val="04650F7A"/>
    <w:lvl w:ilvl="0" w:tentative="0">
      <w:start w:val="1"/>
      <w:numFmt w:val="chineseCounting"/>
      <w:pStyle w:val="2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4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pStyle w:val="5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pStyle w:val="6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pStyle w:val="7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pStyle w:val="8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pStyle w:val="9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pStyle w:val="10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abstractNum w:abstractNumId="2">
    <w:nsid w:val="7D6BEC7F"/>
    <w:multiLevelType w:val="singleLevel"/>
    <w:tmpl w:val="7D6BEC7F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VmNDRhZmIyNmI0MWUxMDYwYzVhMzk5NzUxZDVhYTAifQ=="/>
  </w:docVars>
  <w:rsids>
    <w:rsidRoot w:val="00000000"/>
    <w:rsid w:val="052A53FB"/>
    <w:rsid w:val="07762B7A"/>
    <w:rsid w:val="0A764C3F"/>
    <w:rsid w:val="0ACF7AA2"/>
    <w:rsid w:val="0DC65EDD"/>
    <w:rsid w:val="0FA933C0"/>
    <w:rsid w:val="113674A7"/>
    <w:rsid w:val="171657DF"/>
    <w:rsid w:val="1BED0AD9"/>
    <w:rsid w:val="1CA7512B"/>
    <w:rsid w:val="1D48478C"/>
    <w:rsid w:val="26CB2BA9"/>
    <w:rsid w:val="287700A8"/>
    <w:rsid w:val="31A408F7"/>
    <w:rsid w:val="327613D0"/>
    <w:rsid w:val="340B78F6"/>
    <w:rsid w:val="34212580"/>
    <w:rsid w:val="399D36E6"/>
    <w:rsid w:val="3B0C792C"/>
    <w:rsid w:val="3B2C6AD0"/>
    <w:rsid w:val="3C3E369F"/>
    <w:rsid w:val="3D9A3D4A"/>
    <w:rsid w:val="41E80B6A"/>
    <w:rsid w:val="42B066BC"/>
    <w:rsid w:val="42CD534A"/>
    <w:rsid w:val="432D3337"/>
    <w:rsid w:val="43F403A7"/>
    <w:rsid w:val="45BB5620"/>
    <w:rsid w:val="45BE68D5"/>
    <w:rsid w:val="4B9E44B7"/>
    <w:rsid w:val="4BBD5522"/>
    <w:rsid w:val="4FC43323"/>
    <w:rsid w:val="50B9275C"/>
    <w:rsid w:val="53506199"/>
    <w:rsid w:val="56933A4F"/>
    <w:rsid w:val="574E00AD"/>
    <w:rsid w:val="58A61818"/>
    <w:rsid w:val="5A7D15B7"/>
    <w:rsid w:val="5BDF7BF0"/>
    <w:rsid w:val="5F3833E6"/>
    <w:rsid w:val="609B058E"/>
    <w:rsid w:val="60BB7E2A"/>
    <w:rsid w:val="60E25E30"/>
    <w:rsid w:val="645865FB"/>
    <w:rsid w:val="66145A16"/>
    <w:rsid w:val="6B056872"/>
    <w:rsid w:val="6CE10C19"/>
    <w:rsid w:val="6D050DAB"/>
    <w:rsid w:val="71ED0060"/>
    <w:rsid w:val="723B526F"/>
    <w:rsid w:val="73FF69E4"/>
    <w:rsid w:val="745E462A"/>
    <w:rsid w:val="790C1713"/>
    <w:rsid w:val="790E7239"/>
    <w:rsid w:val="7C541407"/>
    <w:rsid w:val="7DAB14FB"/>
    <w:rsid w:val="7E0E3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35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80" w:firstLineChars="200"/>
      <w:jc w:val="both"/>
    </w:pPr>
    <w:rPr>
      <w:rFonts w:eastAsia="宋体" w:asciiTheme="minorAscii" w:hAnsiTheme="minorAscii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 w:val="0"/>
      <w:keepLines/>
      <w:numPr>
        <w:ilvl w:val="0"/>
        <w:numId w:val="1"/>
      </w:numPr>
      <w:spacing w:before="340" w:after="330" w:line="360" w:lineRule="auto"/>
      <w:ind w:left="432" w:hanging="432" w:firstLineChars="0"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24"/>
    <w:unhideWhenUsed/>
    <w:qFormat/>
    <w:uiPriority w:val="9"/>
    <w:pPr>
      <w:keepNext w:val="0"/>
      <w:keepLines/>
      <w:numPr>
        <w:ilvl w:val="1"/>
        <w:numId w:val="1"/>
      </w:numPr>
      <w:spacing w:before="260" w:after="260" w:line="360" w:lineRule="auto"/>
      <w:ind w:left="573" w:hanging="573" w:firstLineChars="0"/>
      <w:outlineLvl w:val="1"/>
    </w:pPr>
    <w:rPr>
      <w:rFonts w:asciiTheme="majorAscii" w:hAnsiTheme="majorAscii" w:cstheme="majorBidi"/>
      <w:b/>
      <w:bCs/>
      <w:sz w:val="28"/>
      <w:szCs w:val="32"/>
    </w:rPr>
  </w:style>
  <w:style w:type="paragraph" w:styleId="4">
    <w:name w:val="heading 3"/>
    <w:basedOn w:val="3"/>
    <w:next w:val="1"/>
    <w:link w:val="25"/>
    <w:unhideWhenUsed/>
    <w:qFormat/>
    <w:uiPriority w:val="0"/>
    <w:pPr>
      <w:keepNext w:val="0"/>
      <w:keepLines/>
      <w:numPr>
        <w:ilvl w:val="2"/>
        <w:numId w:val="1"/>
      </w:numPr>
      <w:spacing w:before="260" w:beforeLines="0" w:beforeAutospacing="0" w:after="260" w:afterLines="0" w:afterAutospacing="0" w:line="413" w:lineRule="auto"/>
      <w:ind w:left="720" w:hanging="720"/>
      <w:outlineLvl w:val="2"/>
    </w:p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hanging="864" w:firstLineChars="0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 w:firstLineChars="0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 w:firstLineChars="0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 w:firstLineChars="0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 w:firstLineChars="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 w:firstLineChars="0"/>
      <w:outlineLvl w:val="8"/>
    </w:pPr>
    <w:rPr>
      <w:rFonts w:ascii="Arial" w:hAnsi="Arial" w:eastAsia="黑体"/>
      <w:sz w:val="21"/>
    </w:rPr>
  </w:style>
  <w:style w:type="character" w:default="1" w:styleId="20">
    <w:name w:val="Default Paragraph Font"/>
    <w:qFormat/>
    <w:uiPriority w:val="0"/>
  </w:style>
  <w:style w:type="table" w:default="1" w:styleId="1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caption"/>
    <w:basedOn w:val="1"/>
    <w:next w:val="1"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12">
    <w:name w:val="toc 3"/>
    <w:basedOn w:val="1"/>
    <w:next w:val="1"/>
    <w:uiPriority w:val="0"/>
    <w:pPr>
      <w:ind w:left="840" w:leftChars="400"/>
    </w:pPr>
  </w:style>
  <w:style w:type="paragraph" w:styleId="1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4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toc 1"/>
    <w:basedOn w:val="1"/>
    <w:next w:val="1"/>
    <w:unhideWhenUsed/>
    <w:qFormat/>
    <w:uiPriority w:val="39"/>
  </w:style>
  <w:style w:type="paragraph" w:styleId="16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7">
    <w:name w:val="Normal (Web)"/>
    <w:basedOn w:val="1"/>
    <w:qFormat/>
    <w:uiPriority w:val="0"/>
    <w:rPr>
      <w:sz w:val="24"/>
    </w:rPr>
  </w:style>
  <w:style w:type="table" w:styleId="19">
    <w:name w:val="Table Grid"/>
    <w:basedOn w:val="1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1">
    <w:name w:val="Hyperlink"/>
    <w:basedOn w:val="2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22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Cs w:val="32"/>
    </w:rPr>
  </w:style>
  <w:style w:type="paragraph" w:styleId="23">
    <w:name w:val="List Paragraph"/>
    <w:basedOn w:val="1"/>
    <w:qFormat/>
    <w:uiPriority w:val="34"/>
    <w:pPr>
      <w:ind w:firstLine="420" w:firstLineChars="200"/>
    </w:pPr>
  </w:style>
  <w:style w:type="character" w:customStyle="1" w:styleId="24">
    <w:name w:val="标题 2 Char"/>
    <w:link w:val="3"/>
    <w:uiPriority w:val="9"/>
    <w:rPr>
      <w:rFonts w:asciiTheme="majorAscii" w:hAnsiTheme="majorAscii" w:cstheme="majorBidi"/>
      <w:b/>
      <w:bCs/>
      <w:sz w:val="28"/>
      <w:szCs w:val="32"/>
    </w:rPr>
  </w:style>
  <w:style w:type="character" w:customStyle="1" w:styleId="25">
    <w:name w:val="标题 3 Char"/>
    <w:link w:val="4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2431</Words>
  <Characters>2617</Characters>
  <Lines>0</Lines>
  <Paragraphs>0</Paragraphs>
  <TotalTime>4</TotalTime>
  <ScaleCrop>false</ScaleCrop>
  <LinksUpToDate>false</LinksUpToDate>
  <CharactersWithSpaces>2683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2022-12-05T08:51:00Z</dcterms:created>
  <dc:creator>glodon</dc:creator>
  <cp:lastModifiedBy>般若波罗蜜</cp:lastModifiedBy>
  <dcterms:modified xsi:type="dcterms:W3CDTF">2023-06-20T13:17:39Z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3532CC8433D34F48ACA270376C057C7E</vt:lpwstr>
  </property>
</Properties>
</file>