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仿宋_GB2312" w:eastAsia="仿宋_GB2312"/>
          <w:sz w:val="30"/>
          <w:szCs w:val="30"/>
        </w:rPr>
      </w:pPr>
    </w:p>
    <w:p>
      <w:pPr>
        <w:spacing w:line="460" w:lineRule="exact"/>
        <w:jc w:val="center"/>
        <w:rPr>
          <w:rFonts w:ascii="仿宋_GB2312" w:eastAsia="仿宋_GB2312"/>
          <w:sz w:val="30"/>
          <w:szCs w:val="30"/>
        </w:rPr>
      </w:pPr>
    </w:p>
    <w:p>
      <w:pPr>
        <w:spacing w:line="460" w:lineRule="exact"/>
        <w:jc w:val="center"/>
        <w:rPr>
          <w:rFonts w:ascii="仿宋_GB2312" w:eastAsia="仿宋_GB2312"/>
          <w:sz w:val="30"/>
          <w:szCs w:val="30"/>
        </w:rPr>
      </w:pPr>
    </w:p>
    <w:p>
      <w:pPr>
        <w:spacing w:line="460" w:lineRule="exact"/>
        <w:jc w:val="center"/>
        <w:rPr>
          <w:rFonts w:ascii="仿宋_GB2312" w:eastAsia="仿宋_GB2312"/>
          <w:sz w:val="30"/>
          <w:szCs w:val="30"/>
        </w:rPr>
      </w:pPr>
    </w:p>
    <w:p>
      <w:pPr>
        <w:spacing w:line="460" w:lineRule="exact"/>
        <w:jc w:val="center"/>
        <w:rPr>
          <w:rFonts w:ascii="仿宋_GB2312" w:eastAsia="仿宋_GB2312"/>
          <w:sz w:val="30"/>
          <w:szCs w:val="30"/>
        </w:rPr>
      </w:pPr>
    </w:p>
    <w:p>
      <w:pPr>
        <w:spacing w:line="460" w:lineRule="exact"/>
        <w:jc w:val="center"/>
        <w:rPr>
          <w:rFonts w:ascii="仿宋_GB2312" w:eastAsia="仿宋_GB2312"/>
          <w:sz w:val="30"/>
          <w:szCs w:val="30"/>
        </w:rPr>
      </w:pPr>
    </w:p>
    <w:p>
      <w:pPr>
        <w:spacing w:line="460" w:lineRule="exact"/>
        <w:rPr>
          <w:rFonts w:ascii="仿宋_GB2312" w:eastAsia="仿宋_GB2312"/>
          <w:sz w:val="30"/>
          <w:szCs w:val="30"/>
        </w:rPr>
      </w:pPr>
    </w:p>
    <w:p>
      <w:pPr>
        <w:spacing w:line="460" w:lineRule="exact"/>
        <w:jc w:val="center"/>
        <w:rPr>
          <w:rFonts w:ascii="仿宋_GB2312" w:eastAsia="仿宋_GB2312"/>
          <w:sz w:val="30"/>
          <w:szCs w:val="30"/>
        </w:rPr>
      </w:pPr>
    </w:p>
    <w:p>
      <w:pPr>
        <w:spacing w:line="460" w:lineRule="exact"/>
        <w:jc w:val="center"/>
        <w:rPr>
          <w:rFonts w:ascii="仿宋_GB2312" w:eastAsia="仿宋_GB2312"/>
          <w:sz w:val="30"/>
          <w:szCs w:val="30"/>
        </w:rPr>
      </w:pPr>
    </w:p>
    <w:p>
      <w:pPr>
        <w:spacing w:line="460" w:lineRule="exact"/>
        <w:jc w:val="center"/>
        <w:rPr>
          <w:rFonts w:ascii="仿宋_GB2312" w:eastAsia="仿宋_GB2312"/>
          <w:sz w:val="30"/>
          <w:szCs w:val="30"/>
        </w:rPr>
      </w:pPr>
    </w:p>
    <w:p>
      <w:pPr>
        <w:spacing w:beforeLines="50" w:line="460" w:lineRule="exact"/>
        <w:jc w:val="center"/>
        <w:rPr>
          <w:rFonts w:ascii="仿宋_GB2312" w:eastAsia="仿宋_GB2312"/>
          <w:sz w:val="30"/>
          <w:szCs w:val="30"/>
        </w:rPr>
      </w:pPr>
      <w:r>
        <w:rPr>
          <w:rFonts w:hint="eastAsia" w:ascii="仿宋_GB2312" w:eastAsia="仿宋_GB2312"/>
          <w:sz w:val="30"/>
          <w:szCs w:val="30"/>
        </w:rPr>
        <w:t>磐机事〔2015〕17号</w:t>
      </w:r>
    </w:p>
    <w:p>
      <w:pPr>
        <w:spacing w:line="460" w:lineRule="exact"/>
        <w:rPr>
          <w:rFonts w:ascii="仿宋_GB2312" w:eastAsia="仿宋_GB2312"/>
          <w:b/>
          <w:sz w:val="36"/>
          <w:szCs w:val="36"/>
        </w:rPr>
      </w:pPr>
    </w:p>
    <w:p>
      <w:pPr>
        <w:spacing w:line="520" w:lineRule="exact"/>
        <w:jc w:val="center"/>
        <w:rPr>
          <w:rFonts w:ascii="宋体" w:hAnsi="宋体"/>
          <w:b/>
          <w:sz w:val="36"/>
          <w:szCs w:val="36"/>
        </w:rPr>
      </w:pPr>
      <w:r>
        <w:rPr>
          <w:rFonts w:hint="eastAsia" w:ascii="宋体" w:hAnsi="宋体"/>
          <w:b/>
          <w:sz w:val="36"/>
          <w:szCs w:val="36"/>
        </w:rPr>
        <w:t>2015年上半年机关事务工作总结和下半年工作要点</w:t>
      </w:r>
    </w:p>
    <w:p>
      <w:pPr>
        <w:spacing w:line="460" w:lineRule="exact"/>
        <w:rPr>
          <w:rFonts w:ascii="仿宋_GB2312" w:hAnsi="宋体" w:eastAsia="仿宋_GB2312"/>
        </w:rPr>
      </w:pPr>
    </w:p>
    <w:p>
      <w:pPr>
        <w:pStyle w:val="9"/>
        <w:spacing w:line="520" w:lineRule="exact"/>
        <w:ind w:firstLine="640" w:firstLineChars="200"/>
        <w:rPr>
          <w:rFonts w:hint="eastAsia" w:ascii="仿宋_GB2312" w:eastAsia="仿宋_GB2312"/>
          <w:sz w:val="32"/>
          <w:szCs w:val="32"/>
        </w:rPr>
      </w:pPr>
      <w:r>
        <w:rPr>
          <w:rFonts w:hint="eastAsia" w:ascii="仿宋_GB2312" w:hAnsi="Times New Roman" w:eastAsia="仿宋_GB2312"/>
          <w:kern w:val="2"/>
          <w:sz w:val="32"/>
          <w:szCs w:val="32"/>
        </w:rPr>
        <w:t>上半年机关事务工作，坚持以党的十八大精神为指导，认真贯彻落实全省机关事务工作电视电话会议精神，围绕县委、县政府中心工作，立足实际，认真履职，团结协作，务实进取，</w:t>
      </w:r>
      <w:r>
        <w:rPr>
          <w:rFonts w:hint="eastAsia" w:ascii="仿宋_GB2312" w:eastAsia="仿宋_GB2312"/>
          <w:sz w:val="32"/>
          <w:szCs w:val="32"/>
        </w:rPr>
        <w:t>后勤管理服务保障工作得到进一步提升，年初确定的重点工作得到扎实有序推进，较好地完成了上半年机关后事务各项工作任务。现将主要工作完成情况总结如下：</w:t>
      </w:r>
    </w:p>
    <w:p>
      <w:pPr>
        <w:pStyle w:val="9"/>
        <w:numPr>
          <w:ilvl w:val="0"/>
          <w:numId w:val="1"/>
        </w:numPr>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后勤制度建设不断完善。</w:t>
      </w:r>
      <w:r>
        <w:rPr>
          <w:rFonts w:hint="eastAsia" w:ascii="仿宋_GB2312" w:eastAsia="仿宋_GB2312"/>
          <w:sz w:val="32"/>
          <w:szCs w:val="32"/>
        </w:rPr>
        <w:t>一方面在推动制度落实上下功夫。认真贯彻国务院《机关事务管理条例》和省政府《实施意见》，制订了《2015年后勤重点工作及目标责任分工落实的实施意见》，强化目标责任考核，推动各项工作落实。切实抓好《公共机构节能条例》的贯彻实施，进一步完善公共机构节能监督体系，改进节能监察方式，制订公共机构创建节水型示范单位具体指导意见，把公共机构节水工作列入今年县政府绩效管理综合考评体系。另一方面，在加快推进后勤法治建设上下功夫，成立了法治后勤建设领导小组，提出了建设“法治后勤”的指导思想、总体要求和目标任务。加强与财政、发改、编办等有关部门的沟通衔接，向县编委提交了组建资产管理机构的请示意见，明晰责权关系，为推进机关房产统一管理打好了基础。认真开展后勤改革调研工作，拟定了公车改革后公务用车服务保障机制，为下一步实施公务用车改革做好准备。</w:t>
      </w:r>
    </w:p>
    <w:p>
      <w:pPr>
        <w:pStyle w:val="9"/>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二、服务保障能力得到增强。</w:t>
      </w:r>
      <w:r>
        <w:rPr>
          <w:rFonts w:hint="eastAsia" w:ascii="仿宋_GB2312" w:eastAsia="仿宋_GB2312"/>
          <w:sz w:val="32"/>
          <w:szCs w:val="32"/>
        </w:rPr>
        <w:t>以高度的大局意识和责任意识，把保障重要会议活动作为政治任务来抓，圆满完成了县“两会”、县委全会等重要会议，以及浙江磐安高二乡杜鹃花节、第三届磐安云峰茶文化节等重大活动的后勤保障任务。认真落实中央“八项”规定，加强公务接待管理，统筹做好各项公务接待工作，1—6月共接待来宾360批计5680人次，其中副国级1人，部级领导2人，省级以上960人次。围绕创建“满意食堂”的要求，认真组织开展调研活动，分批次赴永康、义乌等兄弟县市及德清、桐庐等外市区，学习考察机关食堂先进管理经验，积极探索适应干部职工需求的供餐服务新机制，不断完善餐饮服务监管模式。完成了食堂二楼餐厅简易改造，实行快餐和自助餐相结合及错时用餐服务的方式，解决干部职工就餐时点排队长的问题。在抓好食品安全、卫生的基础上，着力在提高菜肴品质、提升服务质量上下功夫，提高服务满意度。加强机关车队建设，维护车辆良好状态，本着“定期检测、及时修理”的原则、确保行车安全和服务保障工作的完成。强化安全稳定工作，开展“安全生产月”宣传活动，落实安全生产检查，制定安全隐患整改措施，完成了县府门禁设施和东侧围墙改造，安装了电子巡防系统。重视机关物业管理和日常维护工作，完成了机关食堂配电工程、门楼防漏及龙山新村阴沟盖板修缮。强化环境卫生整治。开展“全民清洁日”、灭四害”、控烟宣传及花木病虫害的防治工作。加强周转房服务管理，改进服务方式，更换电视机等设备设施，后勤服务保障水平得到进一步提升。</w:t>
      </w:r>
    </w:p>
    <w:p>
      <w:pPr>
        <w:pStyle w:val="9"/>
        <w:spacing w:line="52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三、重点难点工作扎实推进。</w:t>
      </w:r>
      <w:r>
        <w:rPr>
          <w:rFonts w:hint="eastAsia" w:ascii="仿宋_GB2312" w:eastAsia="仿宋_GB2312"/>
          <w:sz w:val="32"/>
          <w:szCs w:val="32"/>
        </w:rPr>
        <w:t>围绕省委督导组反馈意见和县委“十大”整改专项行动，配合县委督导组对各部门办公用房进行全面核查，通过跟踪督查、现场指导等多种方式，解决好县委督察组督查反馈的问题，防止我县办公用房违规现象的反弹，巩固了整改成果。深入有关单位开展办公用房整改调研活动，以“钉钉子”精神，克难攻坚，在办公用房调剂难上下功夫，加快机关办公用房整合工作，主动与有关单位沟通协调，落实了县旅游局等6家单位办公用房调整搬迁工作，为推进办公用房统一集中管理奠定了基础。严格公务接待管理规定，推行公务接待集中统一管理制度，全县党政机关公务接待逐步实行由县接待办集中管理、集中接待，第一批32个部门单位已纳入集中接待范围，统筹公务接待工作难的问题得到有效破解。围绕全县“五水共治”、“三改一拆”等重点工作，加强与高二乡政府沟通联系，深入基层，走村入户，查找矛盾问题的症结，有针对性地做群众的思想工作，协助高二乡政府解决好大湖山村旅游开发项目征地引发的重大纠纷，净化了投资环境，助推我县“摘帽快跑”和“两美”磐安建设，得到了县委、县府主要领导的表扬和肯定。扎实推进公共机构节能创建工作，开展节能宣传，落实工作责任，制定管理措施，强化能耗监测，完善统计台帐，18家节水型示范单位创建工作成效明显。根据新《预算法》、《财政部关于深入推进地方预决算公开工作的通知》要求，加强行政经费收支管理，完善内控制度，搞好预决算编制，做好财务公开工作，完成了2014年度“三公经费”专项审计工作。</w:t>
      </w:r>
    </w:p>
    <w:p>
      <w:pPr>
        <w:pStyle w:val="9"/>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四、干部队伍建设得到加强。</w:t>
      </w:r>
      <w:r>
        <w:rPr>
          <w:rFonts w:hint="eastAsia" w:ascii="仿宋_GB2312" w:eastAsia="仿宋_GB2312"/>
          <w:sz w:val="32"/>
          <w:szCs w:val="32"/>
        </w:rPr>
        <w:t>深入贯彻落实十八届三中、四中全会精神及</w:t>
      </w:r>
      <w:bookmarkStart w:id="0" w:name="_GoBack"/>
      <w:r>
        <w:rPr>
          <w:rFonts w:hint="eastAsia" w:ascii="仿宋_GB2312" w:eastAsia="仿宋_GB2312"/>
          <w:sz w:val="32"/>
          <w:szCs w:val="32"/>
        </w:rPr>
        <w:t>习近平</w:t>
      </w:r>
      <w:bookmarkEnd w:id="0"/>
      <w:r>
        <w:rPr>
          <w:rFonts w:hint="eastAsia" w:ascii="仿宋_GB2312" w:eastAsia="仿宋_GB2312"/>
          <w:sz w:val="32"/>
          <w:szCs w:val="32"/>
        </w:rPr>
        <w:t>总书记系列</w:t>
      </w:r>
      <w:r>
        <w:rPr>
          <w:rFonts w:hint="eastAsia" w:ascii="仿宋_GB2312" w:eastAsia="仿宋_GB2312"/>
          <w:sz w:val="32"/>
          <w:szCs w:val="32"/>
          <w:lang w:val="en-US" w:eastAsia="zh-CN"/>
        </w:rPr>
        <w:t>重要</w:t>
      </w:r>
      <w:r>
        <w:rPr>
          <w:rFonts w:hint="eastAsia" w:ascii="仿宋_GB2312" w:eastAsia="仿宋_GB2312"/>
          <w:sz w:val="32"/>
          <w:szCs w:val="32"/>
        </w:rPr>
        <w:t>讲话精神，加强局领导班子自身建设。按照“守纪律、讲规矩”的要求，严肃党内政治生活，坚持和完善民主集中制，完善局党组议事规则，落实局党组集体领导工作机制。继续推进党的群众路线教育实践活动的各项整改工作，深入抓好局领导班子、领导干部整改方案的落实，加强各项专项整治力度，持续改进工作作风。抓好机关党建工作，加强党员干部队伍理论武装，坚持“周一”夜学制度，持续深入推进作风效能建设，巩固群众路线教育实践活动成果，坚持不懈反对“四风”，全面加强机关作风建设。以党建带动工会、妇团等群众性组织建设，组织开展多种形式的机关文化活动，积极参加全运会、联谊会，丰富干部职工文化生活，增强凝聚力和向心力。认真贯彻党风廉政建设制度规定，按照“领班子、带队伍、作表率”的要求，认真落实党风廉政建设主体责任和监督责任，加强干部职工廉洁自律教育，处置不合格干部职工，扎实推进惩治和预防腐败体系建设。制定活动方案，开展“从严管理提升年”系列活动，组织党员干部参加全县召开的“三严三实”专题教育党课。积极响应县委号召，组织开展了“摘帽快跑”解放思想大讨论，每位干部职工按照“四查四问”的要求，深刻查找问题，提出整改措施和努力方向。围绕服务中心工作，组织干部职工开展下乡进村扶贫帮困和走访企业活动，解决企业发展难题3件，赠送暖冬关爱物资28件,落实高二乡东山头村扶贫资金2.52万元，其中党员个人捐款0.72万元。组建党员志愿者服务队伍，在重大节日期间，组织志愿者到联系村、共建社区开展困难家庭慰问、环境清扫、义务植树等活动。按照局科室职能调整及变化，理顺内部管理关系，优化职能设置，强化团队意识，促进干部队伍整体素质的提高。</w:t>
      </w:r>
    </w:p>
    <w:p>
      <w:pPr>
        <w:pStyle w:val="9"/>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纵观上半年工作，虽然取得一些成绩，但也存在不少问题和不足，后勤管理体制机制不健全，服务标准不规范，保障措施跟进不力，后勤服务社会化改革推进不快，干部队伍能力素质难以适应政府转变职能的新常态和机关事务管理工作的新要求、新任务。为切实解决好这些问题和不足，需要我们积极探索，克难求进，合力做好各项机关事务管理工作。</w:t>
      </w:r>
    </w:p>
    <w:p>
      <w:pPr>
        <w:spacing w:line="520" w:lineRule="exact"/>
        <w:ind w:firstLine="633" w:firstLineChars="198"/>
        <w:rPr>
          <w:rFonts w:hint="eastAsia" w:ascii="仿宋_GB2312" w:eastAsia="仿宋_GB2312"/>
          <w:sz w:val="32"/>
          <w:szCs w:val="32"/>
        </w:rPr>
      </w:pPr>
      <w:r>
        <w:rPr>
          <w:rFonts w:hint="eastAsia" w:ascii="仿宋_GB2312" w:eastAsia="仿宋_GB2312"/>
          <w:sz w:val="32"/>
          <w:szCs w:val="32"/>
        </w:rPr>
        <w:t>下半年机关事务工作要以学习贯彻《浙江省机关事务管理条例实施细则》为契机，围绕全县中心工作，以后勤管理改革和服务保障为重点，努力在“六个”着力上下功夫，确保完成全年机关后勤工作任务。</w:t>
      </w:r>
    </w:p>
    <w:p>
      <w:pPr>
        <w:spacing w:line="520" w:lineRule="exact"/>
        <w:ind w:firstLine="793" w:firstLineChars="247"/>
        <w:rPr>
          <w:rFonts w:hint="eastAsia"/>
          <w:sz w:val="32"/>
          <w:szCs w:val="32"/>
        </w:rPr>
      </w:pPr>
      <w:r>
        <w:rPr>
          <w:rFonts w:hint="eastAsia" w:ascii="仿宋_GB2312" w:eastAsia="仿宋_GB2312"/>
          <w:b/>
          <w:sz w:val="32"/>
          <w:szCs w:val="32"/>
        </w:rPr>
        <w:t>一、着力推进办公用房统一管理。</w:t>
      </w:r>
      <w:r>
        <w:rPr>
          <w:rFonts w:hint="eastAsia" w:ascii="仿宋_GB2312" w:eastAsia="仿宋_GB2312"/>
          <w:bCs/>
          <w:sz w:val="32"/>
          <w:szCs w:val="32"/>
        </w:rPr>
        <w:t>深入调研、积极探索适应“五统一”要求的办公用房管理模式。</w:t>
      </w:r>
      <w:r>
        <w:rPr>
          <w:rFonts w:hint="eastAsia" w:ascii="仿宋_GB2312" w:eastAsia="仿宋_GB2312"/>
          <w:sz w:val="32"/>
          <w:szCs w:val="32"/>
        </w:rPr>
        <w:t>在组织开展党政机关办公用房整改落实的基础上，积极推进办公用房管理制度改革，制定出台《磐安县机关事业单位办公用房统一管理工作暂行办法》，抓好组织实施工作，确保“五个统一”制度落地生根，着力解决好长期以来机关房产资源浪费和配置管理不科学问题。</w:t>
      </w:r>
    </w:p>
    <w:p>
      <w:pPr>
        <w:spacing w:line="520" w:lineRule="exact"/>
        <w:ind w:firstLine="636" w:firstLineChars="198"/>
        <w:rPr>
          <w:rFonts w:hint="eastAsia" w:ascii="仿宋_GB2312" w:eastAsia="仿宋_GB2312"/>
          <w:sz w:val="32"/>
          <w:szCs w:val="32"/>
        </w:rPr>
      </w:pPr>
      <w:r>
        <w:rPr>
          <w:rFonts w:hint="eastAsia" w:ascii="仿宋_GB2312" w:eastAsia="仿宋_GB2312"/>
          <w:b/>
          <w:sz w:val="32"/>
          <w:szCs w:val="32"/>
        </w:rPr>
        <w:t>二、着力推进公务用车制度改革。</w:t>
      </w:r>
      <w:r>
        <w:rPr>
          <w:rFonts w:hint="eastAsia" w:ascii="仿宋_GB2312" w:eastAsia="仿宋_GB2312"/>
          <w:sz w:val="32"/>
          <w:szCs w:val="32"/>
        </w:rPr>
        <w:t>严格按照深化公务用车改革的工作要求，加强与财政、发改等部门的沟通衔接，研究制定并实施符合磐安实际的公务用车改革方案，探索建立与政策相衔接，与市场相统一，与公务保障相适应的党政机关公务用车保障机制，规范车改后集中保障公务车辆的使用管理，确保机关高效用车。</w:t>
      </w:r>
    </w:p>
    <w:p>
      <w:pPr>
        <w:spacing w:line="520" w:lineRule="exact"/>
        <w:ind w:firstLine="636" w:firstLineChars="198"/>
        <w:rPr>
          <w:rFonts w:hint="eastAsia" w:ascii="仿宋_GB2312" w:eastAsia="仿宋_GB2312"/>
          <w:sz w:val="32"/>
          <w:szCs w:val="32"/>
        </w:rPr>
      </w:pPr>
      <w:r>
        <w:rPr>
          <w:rFonts w:hint="eastAsia" w:ascii="仿宋_GB2312" w:eastAsia="仿宋_GB2312"/>
          <w:b/>
          <w:sz w:val="32"/>
          <w:szCs w:val="32"/>
        </w:rPr>
        <w:t>三、着力创建公共机构示范单位。</w:t>
      </w:r>
      <w:r>
        <w:rPr>
          <w:rFonts w:hint="eastAsia" w:ascii="仿宋_GB2312" w:eastAsia="仿宋_GB2312"/>
          <w:sz w:val="32"/>
          <w:szCs w:val="32"/>
        </w:rPr>
        <w:t>深入开展“五水共治”活动，积极创建市、县级节水示范单位，推广使用节能新技术、新产品。抓好以节水、节电为重点的节能工作，推进公共机构节水型示范单位建设，以示范带动全县节能工作的扎实开展，确保完成今年市下达的各项节能工作目标任务。同时，实施机关大院公侧节水型拆建改造工程，确保在年底完工验收使用。</w:t>
      </w:r>
    </w:p>
    <w:p>
      <w:pPr>
        <w:spacing w:line="520" w:lineRule="exact"/>
        <w:ind w:firstLine="643" w:firstLineChars="200"/>
        <w:rPr>
          <w:rFonts w:hint="eastAsia" w:ascii="仿宋_GB2312" w:eastAsia="仿宋_GB2312"/>
          <w:sz w:val="32"/>
          <w:szCs w:val="32"/>
        </w:rPr>
      </w:pPr>
      <w:r>
        <w:rPr>
          <w:rFonts w:hint="eastAsia" w:ascii="仿宋_GB2312" w:eastAsia="仿宋_GB2312"/>
          <w:b/>
          <w:sz w:val="32"/>
          <w:szCs w:val="32"/>
        </w:rPr>
        <w:t>四、着力维护机关大院安全稳定。</w:t>
      </w:r>
      <w:r>
        <w:rPr>
          <w:rFonts w:hint="eastAsia" w:ascii="仿宋_GB2312" w:eastAsia="仿宋_GB2312"/>
          <w:sz w:val="32"/>
          <w:szCs w:val="32"/>
        </w:rPr>
        <w:t>针对当前安保任务重且队伍素质不强的实际，有计划地开展安保队伍履职的教育和技能培训，着力提升安保队伍人员的履职能力。强化人防、物防、技防相结合，严格机关大院安保值班、巡查制度落实。修订和完善处置突发事件应急预案，密切与公安、信访等部门的联动协作，努力维护机关大院的稳定。</w:t>
      </w:r>
    </w:p>
    <w:p>
      <w:pPr>
        <w:spacing w:line="520" w:lineRule="exact"/>
        <w:ind w:firstLine="643" w:firstLineChars="200"/>
        <w:rPr>
          <w:rFonts w:hint="eastAsia" w:ascii="仿宋_GB2312" w:eastAsia="仿宋_GB2312"/>
          <w:sz w:val="32"/>
          <w:szCs w:val="32"/>
        </w:rPr>
      </w:pPr>
      <w:r>
        <w:rPr>
          <w:rFonts w:hint="eastAsia" w:ascii="仿宋_GB2312" w:eastAsia="仿宋_GB2312"/>
          <w:b/>
          <w:sz w:val="32"/>
          <w:szCs w:val="32"/>
        </w:rPr>
        <w:t>五、着力提升服务保障管理水平。</w:t>
      </w:r>
      <w:r>
        <w:rPr>
          <w:rFonts w:hint="eastAsia" w:ascii="仿宋_GB2312" w:eastAsia="仿宋_GB2312"/>
          <w:sz w:val="32"/>
          <w:szCs w:val="32"/>
        </w:rPr>
        <w:t>研究探索社会化购买后勤服务方式，完善市场化购买服务机制，抓好会议服务、卫生保洁、水电维修、绿化美化工作，保障好县委、县政府重大活动和重要会议。继续开展创建“满意食堂”活动，狠抓日常监管、质量考核、规范管理，不断完善餐饮服务监管模式。加强后勤电子信息化建设，建立公众微信号平台，及时发布和交流后勤工作信息，提高后勤信息化管理水平。</w:t>
      </w:r>
    </w:p>
    <w:p>
      <w:pPr>
        <w:spacing w:line="520" w:lineRule="exact"/>
        <w:ind w:firstLine="643" w:firstLineChars="200"/>
        <w:rPr>
          <w:rFonts w:hint="eastAsia" w:ascii="仿宋_GB2312" w:eastAsia="仿宋_GB2312"/>
          <w:sz w:val="32"/>
          <w:szCs w:val="32"/>
        </w:rPr>
      </w:pPr>
      <w:r>
        <w:rPr>
          <w:rFonts w:hint="eastAsia" w:ascii="仿宋_GB2312" w:eastAsia="仿宋_GB2312"/>
          <w:b/>
          <w:sz w:val="32"/>
          <w:szCs w:val="32"/>
        </w:rPr>
        <w:t>六、着力加强机关自身能力建设。</w:t>
      </w:r>
      <w:r>
        <w:rPr>
          <w:rFonts w:hint="eastAsia" w:ascii="仿宋_GB2312" w:eastAsia="仿宋_GB2312"/>
          <w:sz w:val="32"/>
          <w:szCs w:val="32"/>
        </w:rPr>
        <w:t>继续深入开展“三严三实”专项教育活动，按照“四查四问”的要求，抓好整改措施的落实，着力把教育实践活动成果转化为履行职能、做好工作的新动力。按照“守纪律、讲规矩”的要求，加强干部职工自律教育，提升干部职工综合服务能力。全面落实从严治党的要求，认真贯彻执行《党组工作条例》，进一步落实党建工作责任制，着力增强党组织的示范引领能力。切实推进党风廉政建设，抓好党风廉政“两个责任”和领导干部“一岗双责”落实“回头看”工作。注重后勤文化建设，创建机关事务服务品牌，推动机关事务工作不断取得新成效、新业绩。</w:t>
      </w:r>
    </w:p>
    <w:p>
      <w:pPr>
        <w:spacing w:line="520" w:lineRule="exact"/>
        <w:rPr>
          <w:rFonts w:hint="eastAsia" w:ascii="仿宋_GB2312" w:eastAsia="仿宋_GB2312"/>
          <w:sz w:val="32"/>
          <w:szCs w:val="32"/>
        </w:rPr>
      </w:pPr>
    </w:p>
    <w:p>
      <w:pPr>
        <w:pStyle w:val="9"/>
        <w:spacing w:line="520" w:lineRule="exact"/>
        <w:ind w:right="1200" w:firstLine="633" w:firstLineChars="198"/>
        <w:jc w:val="right"/>
        <w:rPr>
          <w:rFonts w:hint="eastAsia" w:ascii="仿宋_GB2312" w:hAnsi="宋体" w:eastAsia="仿宋_GB2312"/>
          <w:sz w:val="32"/>
          <w:szCs w:val="32"/>
        </w:rPr>
      </w:pPr>
    </w:p>
    <w:p>
      <w:pPr>
        <w:pStyle w:val="9"/>
        <w:spacing w:line="520" w:lineRule="exact"/>
        <w:ind w:right="1200" w:firstLine="633" w:firstLineChars="198"/>
        <w:jc w:val="right"/>
        <w:rPr>
          <w:rFonts w:hint="eastAsia" w:ascii="仿宋_GB2312" w:hAnsi="宋体" w:eastAsia="仿宋_GB2312"/>
          <w:sz w:val="32"/>
          <w:szCs w:val="32"/>
        </w:rPr>
      </w:pPr>
    </w:p>
    <w:p>
      <w:pPr>
        <w:pStyle w:val="9"/>
        <w:spacing w:line="520" w:lineRule="exact"/>
        <w:ind w:right="600"/>
        <w:jc w:val="right"/>
        <w:rPr>
          <w:rFonts w:hint="eastAsia" w:ascii="仿宋_GB2312" w:hAnsi="宋体" w:eastAsia="仿宋_GB2312"/>
          <w:sz w:val="32"/>
          <w:szCs w:val="32"/>
        </w:rPr>
      </w:pPr>
      <w:r>
        <w:rPr>
          <w:rFonts w:hint="eastAsia" w:ascii="仿宋_GB2312" w:hAnsi="宋体" w:eastAsia="仿宋_GB2312"/>
          <w:sz w:val="32"/>
          <w:szCs w:val="32"/>
        </w:rPr>
        <w:t>磐安县机关事务管理局</w:t>
      </w:r>
    </w:p>
    <w:p>
      <w:pPr>
        <w:pStyle w:val="9"/>
        <w:spacing w:line="520" w:lineRule="exact"/>
        <w:ind w:left="4620" w:leftChars="2200" w:firstLine="480" w:firstLineChars="150"/>
        <w:rPr>
          <w:rFonts w:hint="eastAsia" w:ascii="仿宋_GB2312" w:eastAsia="仿宋_GB2312"/>
          <w:sz w:val="30"/>
          <w:szCs w:val="30"/>
        </w:rPr>
      </w:pPr>
      <w:r>
        <w:rPr>
          <w:rFonts w:hint="eastAsia" w:ascii="仿宋_GB2312" w:hAnsi="宋体" w:eastAsia="仿宋_GB2312"/>
          <w:sz w:val="32"/>
          <w:szCs w:val="32"/>
        </w:rPr>
        <w:t>2015年7月7日</w:t>
      </w:r>
    </w:p>
    <w:p>
      <w:pPr>
        <w:spacing w:line="560" w:lineRule="exact"/>
        <w:ind w:firstLine="594" w:firstLineChars="198"/>
        <w:rPr>
          <w:rFonts w:hint="eastAsia" w:ascii="仿宋_GB2312" w:eastAsia="仿宋_GB2312"/>
          <w:sz w:val="30"/>
          <w:szCs w:val="30"/>
        </w:rPr>
      </w:pPr>
    </w:p>
    <w:p>
      <w:pPr>
        <w:spacing w:line="560" w:lineRule="exact"/>
        <w:ind w:firstLine="594" w:firstLineChars="198"/>
        <w:rPr>
          <w:rFonts w:hint="eastAsia" w:ascii="仿宋_GB2312" w:eastAsia="仿宋_GB2312"/>
          <w:sz w:val="30"/>
          <w:szCs w:val="30"/>
        </w:rPr>
      </w:pPr>
    </w:p>
    <w:p>
      <w:pPr>
        <w:spacing w:line="560" w:lineRule="exact"/>
        <w:ind w:firstLine="594" w:firstLineChars="198"/>
        <w:rPr>
          <w:rFonts w:hint="eastAsia" w:ascii="仿宋_GB2312" w:eastAsia="仿宋_GB2312"/>
          <w:sz w:val="30"/>
          <w:szCs w:val="30"/>
        </w:rPr>
      </w:pPr>
    </w:p>
    <w:p>
      <w:pPr>
        <w:spacing w:line="560" w:lineRule="exact"/>
        <w:ind w:firstLine="594" w:firstLineChars="198"/>
        <w:rPr>
          <w:rFonts w:hint="eastAsia" w:ascii="仿宋_GB2312" w:eastAsia="仿宋_GB2312"/>
          <w:sz w:val="30"/>
          <w:szCs w:val="30"/>
        </w:rPr>
      </w:pPr>
    </w:p>
    <w:p>
      <w:pPr>
        <w:spacing w:line="560" w:lineRule="exact"/>
        <w:ind w:firstLine="594" w:firstLineChars="198"/>
        <w:rPr>
          <w:rFonts w:hint="eastAsia" w:ascii="仿宋_GB2312" w:eastAsia="仿宋_GB2312"/>
          <w:sz w:val="30"/>
          <w:szCs w:val="30"/>
        </w:rPr>
      </w:pPr>
    </w:p>
    <w:p>
      <w:pPr>
        <w:spacing w:line="560" w:lineRule="exact"/>
        <w:ind w:firstLine="594" w:firstLineChars="198"/>
        <w:rPr>
          <w:rFonts w:hint="eastAsia" w:ascii="仿宋_GB2312" w:eastAsia="仿宋_GB2312"/>
          <w:sz w:val="30"/>
          <w:szCs w:val="30"/>
        </w:rPr>
      </w:pPr>
    </w:p>
    <w:p>
      <w:pPr>
        <w:spacing w:line="560" w:lineRule="exact"/>
        <w:ind w:firstLine="594" w:firstLineChars="198"/>
        <w:rPr>
          <w:rFonts w:ascii="仿宋_GB2312" w:eastAsia="仿宋_GB2312"/>
          <w:sz w:val="30"/>
          <w:szCs w:val="30"/>
        </w:rPr>
      </w:pPr>
    </w:p>
    <w:p>
      <w:pPr>
        <w:spacing w:line="560" w:lineRule="exact"/>
        <w:rPr>
          <w:rFonts w:ascii="仿宋_GB2312" w:eastAsia="仿宋_GB2312"/>
          <w:b/>
          <w:sz w:val="30"/>
          <w:szCs w:val="30"/>
          <w:u w:val="single"/>
        </w:rPr>
      </w:pPr>
      <w:r>
        <w:rPr>
          <w:rFonts w:hint="eastAsia" w:ascii="仿宋_GB2312" w:eastAsia="仿宋_GB2312"/>
          <w:sz w:val="30"/>
          <w:szCs w:val="30"/>
          <w:u w:val="single"/>
        </w:rPr>
        <w:t xml:space="preserve">抄报：县委办、县府办、 </w:t>
      </w:r>
      <w:r>
        <w:rPr>
          <w:rFonts w:hint="eastAsia" w:ascii="仿宋_GB2312" w:eastAsia="仿宋_GB2312"/>
          <w:b/>
          <w:sz w:val="30"/>
          <w:szCs w:val="30"/>
          <w:u w:val="single"/>
        </w:rPr>
        <w:t xml:space="preserve">                                      </w:t>
      </w:r>
    </w:p>
    <w:p>
      <w:pPr>
        <w:spacing w:line="560" w:lineRule="exact"/>
        <w:jc w:val="left"/>
        <w:rPr>
          <w:rFonts w:ascii="仿宋_GB2312" w:eastAsia="仿宋_GB2312"/>
          <w:sz w:val="30"/>
          <w:szCs w:val="30"/>
          <w:u w:val="single"/>
        </w:rPr>
      </w:pPr>
      <w:r>
        <w:rPr>
          <w:rFonts w:hint="eastAsia" w:ascii="仿宋_GB2312" w:eastAsia="仿宋_GB2312"/>
          <w:sz w:val="30"/>
          <w:szCs w:val="30"/>
          <w:u w:val="single"/>
        </w:rPr>
        <w:t xml:space="preserve">发：局各科室                                        </w:t>
      </w:r>
      <w:r>
        <w:rPr>
          <w:rFonts w:hint="eastAsia" w:ascii="仿宋_GB2312" w:eastAsia="仿宋_GB2312"/>
          <w:sz w:val="30"/>
          <w:szCs w:val="30"/>
          <w:u w:val="single"/>
        </w:rPr>
        <w:tab/>
      </w:r>
      <w:r>
        <w:rPr>
          <w:rFonts w:hint="eastAsia" w:ascii="仿宋_GB2312" w:eastAsia="仿宋_GB2312"/>
          <w:sz w:val="30"/>
          <w:szCs w:val="30"/>
          <w:u w:val="single"/>
        </w:rPr>
        <w:t xml:space="preserve">  </w:t>
      </w:r>
    </w:p>
    <w:p>
      <w:pPr>
        <w:spacing w:line="560" w:lineRule="exact"/>
        <w:rPr>
          <w:rFonts w:ascii="仿宋_GB2312" w:eastAsia="仿宋_GB2312"/>
          <w:sz w:val="30"/>
          <w:szCs w:val="30"/>
          <w:u w:val="single"/>
        </w:rPr>
      </w:pPr>
      <w:r>
        <w:rPr>
          <w:rFonts w:hint="eastAsia" w:ascii="仿宋_GB2312" w:eastAsia="仿宋_GB2312"/>
          <w:sz w:val="30"/>
          <w:szCs w:val="30"/>
          <w:u w:val="single"/>
        </w:rPr>
        <w:t xml:space="preserve">磐安县机关事务管理局办公室          2015年7月8日印发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58985"/>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7504A"/>
    <w:multiLevelType w:val="singleLevel"/>
    <w:tmpl w:val="5597504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VjYTYzNTBlNzQ1MjEwYmRmZjY1MmQ1NDU1YTY1ZTQifQ=="/>
  </w:docVars>
  <w:rsids>
    <w:rsidRoot w:val="008D282A"/>
    <w:rsid w:val="000D0C95"/>
    <w:rsid w:val="002930E8"/>
    <w:rsid w:val="00372C1F"/>
    <w:rsid w:val="00387630"/>
    <w:rsid w:val="005E066B"/>
    <w:rsid w:val="005E5EB6"/>
    <w:rsid w:val="00624AFD"/>
    <w:rsid w:val="007973A3"/>
    <w:rsid w:val="008D282A"/>
    <w:rsid w:val="008D41CC"/>
    <w:rsid w:val="009576E6"/>
    <w:rsid w:val="009C7004"/>
    <w:rsid w:val="00B92E82"/>
    <w:rsid w:val="00CA55E1"/>
    <w:rsid w:val="00CE67DA"/>
    <w:rsid w:val="17601C38"/>
    <w:rsid w:val="1B664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1"/>
    <w:basedOn w:val="1"/>
    <w:qFormat/>
    <w:uiPriority w:val="0"/>
    <w:rPr>
      <w:rFonts w:ascii="仿宋_GB2312"/>
      <w:b/>
      <w:szCs w:val="32"/>
    </w:rPr>
  </w:style>
  <w:style w:type="paragraph" w:styleId="9">
    <w:name w:val="No Spacing"/>
    <w:qFormat/>
    <w:uiPriority w:val="0"/>
    <w:pPr>
      <w:adjustRightInd w:val="0"/>
      <w:snapToGrid w:val="0"/>
    </w:pPr>
    <w:rPr>
      <w:rFonts w:ascii="Tahoma" w:hAnsi="Tahoma" w:eastAsia="微软雅黑"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8671-C653-48C7-A0D1-97807BF18E47}">
  <ds:schemaRefs/>
</ds:datastoreItem>
</file>

<file path=docProps/app.xml><?xml version="1.0" encoding="utf-8"?>
<Properties xmlns="http://schemas.openxmlformats.org/officeDocument/2006/extended-properties" xmlns:vt="http://schemas.openxmlformats.org/officeDocument/2006/docPropsVTypes">
  <Template>Normal</Template>
  <Pages>7</Pages>
  <Words>605</Words>
  <Characters>3454</Characters>
  <Lines>28</Lines>
  <Paragraphs>8</Paragraphs>
  <TotalTime>79</TotalTime>
  <ScaleCrop>false</ScaleCrop>
  <LinksUpToDate>false</LinksUpToDate>
  <CharactersWithSpaces>4051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2014-07-22T06:49:00Z</dcterms:created>
  <dc:creator>机关事务管理局办公室</dc:creator>
  <cp:lastModifiedBy>Administrator</cp:lastModifiedBy>
  <cp:lastPrinted>2015-07-08T01:27:00Z</cp:lastPrinted>
  <dcterms:modified xsi:type="dcterms:W3CDTF">2024-04-02T03:14:05Z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0DAE24AD87E2444EB7AD8FD2128400F7_12</vt:lpwstr>
  </property>
</Properties>
</file>