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bookmarkStart w:id="0" w:name="_GoBack"/>
      <w:bookmarkEnd w:id="0"/>
      <w:r>
        <w:rPr>
          <w:rFonts w:hint="eastAsia" w:ascii="方正小标宋简体" w:hAnsi="方正小标宋简体" w:eastAsia="方正小标宋简体" w:cs="方正小标宋简体"/>
          <w:i w:val="0"/>
          <w:color w:val="auto"/>
          <w:kern w:val="0"/>
          <w:sz w:val="44"/>
          <w:szCs w:val="44"/>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整合划入市场监管综合行政执法范围的商务、盐业执法事项目录</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p>
    <w:tbl>
      <w:tblPr>
        <w:tblStyle w:val="4"/>
        <w:tblW w:w="13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6"/>
        <w:gridCol w:w="488"/>
        <w:gridCol w:w="1512"/>
        <w:gridCol w:w="2124"/>
        <w:gridCol w:w="1236"/>
        <w:gridCol w:w="3504"/>
        <w:gridCol w:w="1308"/>
        <w:gridCol w:w="1416"/>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trPr>
        <w:tc>
          <w:tcPr>
            <w:tcW w:w="59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执法事项清单</w:t>
            </w: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职责边界</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划出部门</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实施主体</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序号</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方面</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事项编码</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具体划转</w:t>
            </w:r>
            <w:r>
              <w:rPr>
                <w:rFonts w:hint="eastAsia" w:ascii="黑体" w:hAnsi="宋体" w:eastAsia="黑体" w:cs="黑体"/>
                <w:i w:val="0"/>
                <w:color w:val="auto"/>
                <w:kern w:val="0"/>
                <w:sz w:val="28"/>
                <w:szCs w:val="28"/>
                <w:u w:val="none"/>
                <w:lang w:val="en-US" w:eastAsia="zh-CN" w:bidi="ar"/>
              </w:rPr>
              <w:br w:type="textWrapping"/>
            </w:r>
            <w:r>
              <w:rPr>
                <w:rFonts w:hint="eastAsia" w:ascii="黑体" w:hAnsi="宋体" w:eastAsia="黑体" w:cs="黑体"/>
                <w:i w:val="0"/>
                <w:color w:val="auto"/>
                <w:kern w:val="0"/>
                <w:sz w:val="28"/>
                <w:szCs w:val="28"/>
                <w:u w:val="none"/>
                <w:lang w:val="en-US" w:eastAsia="zh-CN" w:bidi="ar"/>
              </w:rPr>
              <w:t>执法事项</w:t>
            </w: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8"/>
                <w:szCs w:val="28"/>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32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left"/>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一、商务（共94项）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拍卖</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对依法取得从事拍卖业务许可的企业出租、擅自转让拍卖经营权的行政处罚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105" w:rightChars="5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对依法取得从事拍卖业务许可的企业不依规雇佣、使用拍卖师的行政处罚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105" w:rightChars="5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对依法取得从事拍卖业务许可的企业拍卖前违规进行公告或展示的行政处罚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对依法取得从事拍卖业务许可的企业连续6个月无正当理由未举办拍卖会或没有营业纳税证明的行政处罚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单用途</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预付卡</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对单用途商业预付卡集团发卡企业、品牌发卡企业疏于管理的行政处罚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对单用途商业预付卡集团发卡企业、品牌发卡企业未按规定建立业务处理系统并保障其运行质量等相关行为的行政处罚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330221042000</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对单用途商业预付卡规模发卡企业未在境内建立相适应的业务处理系统并保障其运行质量等相关行为的行政处罚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对单用途商业预付卡集团企业、品牌发卡企业违反备案规定的行政处罚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对单用途商业预付卡规模发卡企业违反备案规定的行政处罚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330221038003</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对单用途商业预付卡其他发卡企业违反备案规定的行政处罚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对单用途商业预付卡发卡企业或售卡企业违反单用途商业预付卡发行与服务相关规定的行政处罚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对单用途商业预付卡发卡企业违反单用途商业预付卡资金管理相关规定的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13</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单用途预付</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凭证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对经营者违反单用途商业预付凭证发行管理相关规定的行政处罚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14</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汽车销售</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对汽车经销商出售未经授权销售</w:t>
            </w:r>
            <w:r>
              <w:rPr>
                <w:rStyle w:val="8"/>
                <w:color w:val="auto"/>
                <w:sz w:val="21"/>
                <w:szCs w:val="21"/>
                <w:lang w:val="en-US" w:eastAsia="zh-CN" w:bidi="ar"/>
              </w:rPr>
              <w:t>的</w:t>
            </w:r>
            <w:r>
              <w:rPr>
                <w:rStyle w:val="7"/>
                <w:color w:val="auto"/>
                <w:sz w:val="21"/>
                <w:szCs w:val="21"/>
                <w:lang w:val="en-US" w:eastAsia="zh-CN" w:bidi="ar"/>
              </w:rPr>
              <w:t>汽车，未书面向消费者提醒、说明销售汽车授权情况，或未经授权、授权终止后以供应商授权名义从事汽车销售经营活动的行政处罚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对汽车经销商不明码标价销售的行政处罚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9"/>
                <w:color w:val="auto"/>
                <w:sz w:val="21"/>
                <w:szCs w:val="21"/>
                <w:lang w:val="en-US" w:eastAsia="zh-CN" w:bidi="ar"/>
              </w:rPr>
              <w:t>对汽车经销商、供应商限定消费者户籍所在地、产品提供</w:t>
            </w:r>
            <w:r>
              <w:rPr>
                <w:rStyle w:val="10"/>
                <w:color w:val="auto"/>
                <w:sz w:val="21"/>
                <w:szCs w:val="21"/>
                <w:lang w:val="en-US" w:eastAsia="zh-CN" w:bidi="ar"/>
              </w:rPr>
              <w:t>商</w:t>
            </w:r>
            <w:r>
              <w:rPr>
                <w:rStyle w:val="9"/>
                <w:color w:val="auto"/>
                <w:sz w:val="21"/>
                <w:szCs w:val="21"/>
                <w:lang w:val="en-US" w:eastAsia="zh-CN" w:bidi="ar"/>
              </w:rPr>
              <w:t>和售后服务</w:t>
            </w:r>
            <w:r>
              <w:rPr>
                <w:rStyle w:val="10"/>
                <w:color w:val="auto"/>
                <w:sz w:val="21"/>
                <w:szCs w:val="21"/>
                <w:lang w:val="en-US" w:eastAsia="zh-CN" w:bidi="ar"/>
              </w:rPr>
              <w:t>商</w:t>
            </w:r>
            <w:r>
              <w:rPr>
                <w:rStyle w:val="9"/>
                <w:color w:val="auto"/>
                <w:sz w:val="21"/>
                <w:szCs w:val="21"/>
                <w:lang w:val="en-US" w:eastAsia="zh-CN" w:bidi="ar"/>
              </w:rPr>
              <w:t>，强制购买保险、提供代办登记等服务的行政处罚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对汽车经销商、供应商不落实提供连续售后服务的行政处罚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对汽车供应商制定或实施的商务政策违反公平、公正、透明原则的行政处罚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330221047006</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对汽车供应商限制配件生产商、进口商的销售对象，无依据限制经销商、售后服务商转售配件，或未及时公布停产、停售车型并保证配件供应及售后服务的行政处罚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对汽车供应商违反汽车区域销售合同的行政处罚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330221047008</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对汽车供应商向汽车经销商提出不合理、不平等要求或限制的行政处罚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9"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330221047009</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对汽车经销商、售后服务商未标明、提醒、说明销售或提供配件相关信息的行政处罚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对汽车经销商、供应商未在经营场所或企业网站明示或公布售后服务政策、“三包”信息、合作售后服务商名单的行政处罚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对汽车经销商、供应商未落实建立健全消费者投诉机制的行政处罚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对汽车经销商、供应商未通过全国汽车流通信息管理系统备案、不及时报送相关信息的行政处罚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对汽车经销商、供应商未按要求落实汽车销售信息档案管理制度的行政处罚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330221037005</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对汽车经销商销售汽车时未核实登记消费者身份证明、签订销售合同、如实开具销售发票的行政处罚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28</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报废机动车</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对报废机动车回收企业未按规定处置新能源汽车动力蓄电池的行政处罚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对报废机动车回收企业未取得资质进行回收拆解活动的行政处罚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对因买卖、伪造报废机动车回收证明等违法行为被公安机关治安管理处罚的报废机动车回收企业的行政处罚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对报废机动车回收企业违规处置报废机动车五大总成、拆解零部件的行政处罚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对报废机动车回收企业不按规定办理、转交注销登记的行政处罚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330221046006</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对报废机动车回收企业不按规定如实登记填报五大总成等主要部件信息的行政处罚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对违反环保法规并被</w:t>
            </w:r>
            <w:r>
              <w:rPr>
                <w:rStyle w:val="8"/>
                <w:color w:val="auto"/>
                <w:sz w:val="21"/>
                <w:szCs w:val="21"/>
                <w:lang w:val="en-US" w:eastAsia="zh-CN" w:bidi="ar"/>
              </w:rPr>
              <w:t>生态环境主管部门</w:t>
            </w:r>
            <w:r>
              <w:rPr>
                <w:rStyle w:val="7"/>
                <w:color w:val="auto"/>
                <w:sz w:val="21"/>
                <w:szCs w:val="21"/>
                <w:lang w:val="en-US" w:eastAsia="zh-CN" w:bidi="ar"/>
              </w:rPr>
              <w:t>处罚后拒不改正或逾期未改正的报废机动车回收企业的行政处罚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330221046008</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对报废机动车回收企业涂改、出租、出借或以其他形式非法转让《报废机动车回收拆解企业资质认定证书》的行政处罚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330221046009</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对报废机动车回收企业未按要求备案分支机构，或分支机构违规对报废机动车进行拆解的行政处罚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对报废机动车回收企业违规开具或发放《报废机动车回收证明》，或未</w:t>
            </w:r>
            <w:r>
              <w:rPr>
                <w:rStyle w:val="8"/>
                <w:color w:val="auto"/>
                <w:sz w:val="21"/>
                <w:szCs w:val="21"/>
                <w:lang w:val="en-US" w:eastAsia="zh-CN" w:bidi="ar"/>
              </w:rPr>
              <w:t>按规定</w:t>
            </w:r>
            <w:r>
              <w:rPr>
                <w:rStyle w:val="7"/>
                <w:color w:val="auto"/>
                <w:sz w:val="21"/>
                <w:szCs w:val="21"/>
                <w:lang w:val="en-US" w:eastAsia="zh-CN" w:bidi="ar"/>
              </w:rPr>
              <w:t>对已出具《报废机动车回收证明》的报废机动车进行拆解的行政处罚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对报废机动车回收企业违规拆解报废机动车，或交易报废机动车整车、拼装车的行政处罚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330221046012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对报废机动车回收企业未按规定建立和使用电子监控系统的行政处罚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330221046013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对报废机动车回收企业不具备资质认定条件的行政处罚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旧电器电子</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产品</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对经营者未建立旧电器电子产品档案的行政处罚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对旧电器电子产品市场未建立旧电器电子产品档案的行政处罚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对经营者未对收购产品进行登记的行政处罚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对经营者未依法履行旧电器电子产品“三包”责任的行政处罚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对经营者违规销售旧电器电子产品的行政处罚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对未按规定标识旧电器电子产品的行政处罚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对经营者未妥善处置旧电器电子产品存储信息的行政处罚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对经营者、市场未按规定报送统计信息、数据的行政处罚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对经营者违规收购或销售旧电器电子产品的行政处罚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50</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散装汽油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对散装汽油经营者未查验并登记购买者身份信息的行政处罚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商业特许</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经营</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对特许人不符合“两店一年”条件开展商业特许经营活动的行政处罚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对企业以外的其他单位和个人作为特许人从事特许经营活动的行政处罚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对特许人未在首次订立特许经营合同之日起15日内向商务主管部门备案的行政处罚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330221054000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对特许人未按规定告知被特许人在订立特许经营合同前支付费用，或特许人未在每年第一季度向商务主管部门报告上一年度特许经营合同订立情况的行政处罚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对特许人未按规定向被特许人提供经营合同文本及相关信息、隐瞒有关信息、提供虚假信息或提供的信息发生重大变更未及时通知被特许人的行政处罚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56</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商品现货</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对商品现货市场经营者违规经营或违反市场机制的行政处罚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57</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一次性</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塑料制品</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对未按规定使用不可降解塑料袋等一次性塑料制品或未按规定报告塑料袋等一次性塑料制品使用情况的行政处罚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58</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对企业违法使用袋装水泥或袋装普通干混砂浆的</w:t>
            </w:r>
            <w:r>
              <w:rPr>
                <w:rStyle w:val="8"/>
                <w:color w:val="auto"/>
                <w:sz w:val="21"/>
                <w:szCs w:val="21"/>
                <w:lang w:val="en-US" w:eastAsia="zh-CN" w:bidi="ar"/>
              </w:rPr>
              <w:t>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对企业使用未经培训的散装水泥、预拌混凝土、预拌砂浆专用车辆驾驶员驾驶专用车辆的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对禁现区域内建设工程符合现场搅拌混凝土、砂浆情形但建设单位或施工单位未事先报告的行政处罚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对禁现区域内建设工程不符合现场搅拌混凝土、砂浆条件建设单位或施工单位仍现场搅拌的行政处罚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62</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零售商</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供应商</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对零售商、供应商交易中不公平行为的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63</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家庭服务</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机构</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对家庭服务机构未公开服务项目、收费标准和投诉监督电话的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330221033000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对家庭服务机构未按要求建立工作档案、跟踪管理制度，对投诉不予妥善处理的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对家庭服务机构未按要求提供经营档案信息、经营情况信息的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对家庭服务机构损害消费者或家庭服务员合法权益的行政处罚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对家庭服务机构未按要求订立家庭服务合同，拒绝家庭服务员获取家庭服务合同的行政处罚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68</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对餐饮经营者违反促销</w:t>
            </w:r>
            <w:r>
              <w:rPr>
                <w:rStyle w:val="8"/>
                <w:color w:val="auto"/>
                <w:sz w:val="21"/>
                <w:szCs w:val="21"/>
                <w:lang w:val="en-US" w:eastAsia="zh-CN" w:bidi="ar"/>
              </w:rPr>
              <w:t>管理</w:t>
            </w:r>
            <w:r>
              <w:rPr>
                <w:rStyle w:val="7"/>
                <w:color w:val="auto"/>
                <w:sz w:val="21"/>
                <w:szCs w:val="21"/>
                <w:lang w:val="en-US" w:eastAsia="zh-CN" w:bidi="ar"/>
              </w:rPr>
              <w:t>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330221024003</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对餐饮经营者未按规定建立健全突发事件应急预案及应对机制的行政处罚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330221024004</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对餐饮经营者未按规定建立外送服务流程及顾客投诉制度的行政处罚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家电维修</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对家电维修经营者违反家电维修服务业信息公示要求的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对家电维修经营者违反家电维修服务业经营行为要求的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9"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73</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美容美发</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对美容美发经营者未明确服务项目范围，未按照其服务项目范围提供服务，或提供服务后未出具消费凭证或服务单据的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74</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机电产品</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国际招投标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对机电产品招标人规避国际招标的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对机电产品招标人在招投标过程中违规行为的行政处罚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对机电产品投标人在招投标过程中违规行为的行政处罚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对机电产品中标人无正当理由不订立合同、签订合同时提出附加条件、不按要求提交履约保证金、不履行订立合同的行政处罚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330221007006</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对机电产品招标机构在代理招</w:t>
            </w:r>
            <w:r>
              <w:rPr>
                <w:rStyle w:val="8"/>
                <w:color w:val="auto"/>
                <w:sz w:val="21"/>
                <w:szCs w:val="21"/>
                <w:lang w:val="en-US" w:eastAsia="zh-CN" w:bidi="ar"/>
              </w:rPr>
              <w:t>投</w:t>
            </w:r>
            <w:r>
              <w:rPr>
                <w:rStyle w:val="7"/>
                <w:color w:val="auto"/>
                <w:sz w:val="21"/>
                <w:szCs w:val="21"/>
                <w:lang w:val="en-US" w:eastAsia="zh-CN" w:bidi="ar"/>
              </w:rPr>
              <w:t>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对机电产品国际招投标评标委员会成员违规行为的行政处罚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330221007008</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对机电产品国际招投标过程中，出让或出租资格、资质证书供他人投标的行政处罚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81</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贸易救济</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对有关行业组织、中介组织和企业泄露出口产品反倾销案件应对策略和应诉方案核心内容等重要信息的行政处罚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82</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对外承包</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工程</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对对外承包工程企业未按规定向有关部门报送相关情况和资料的行政处罚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对对外承包工程企业违规招用外派人员、未购买境外人身意外伤害保险或未按规定存缴备用金的行政处罚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对对外承包工程企业违反安全管理相关规定的行政处罚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对对外承包工程企业违规承揽项目和分包项目相关行为的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86</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对外劳务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对对外劳务合作企业未按规定安排和管理劳务人员相关行为的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对对外劳务合作企业未按规定执行备案手续、未制定突发事件应急预案相关行为的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对对外劳务合作企业拒不将服务合同等合同副本报商务主管部门备案，合同未载明必备事项，或备案后拒不按照要求补正必备事项的行政处罚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8"/>
                <w:color w:val="auto"/>
                <w:sz w:val="21"/>
                <w:szCs w:val="21"/>
                <w:lang w:val="en-US" w:eastAsia="zh-CN" w:bidi="ar"/>
              </w:rPr>
              <w:t>对对外劳务合作企业</w:t>
            </w:r>
            <w:r>
              <w:rPr>
                <w:rStyle w:val="7"/>
                <w:color w:val="auto"/>
                <w:sz w:val="21"/>
                <w:szCs w:val="21"/>
                <w:lang w:val="en-US" w:eastAsia="zh-CN" w:bidi="ar"/>
              </w:rPr>
              <w:t>以商务、旅游、留学等名义或允许其他单位、个人以本企业名义组织劳务人员赴外工作，或组织劳务人员赴外从事与赌博、色情活动相关工作的行政处罚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对对外劳务合作企业违规安排人员赴外工作，或在国外发生突发事件时不及时处理相关行为的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对对外劳务合作企业未依照规定缴存或补足备用金的行政处罚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92</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境外投资</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330221056001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对境外投资企业以提供虚假材料等不正当手段办理备案并取得《企业境外投资证书》的行政处罚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330221056002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对境外投资企业伪造、涂改、出租或转让《企业境外投资证书》的行政处罚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94</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外商投资</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330221018000</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对外国投资者、外商投资企业未按照外商投资信息报告制度要求报送投资信息的行政处罚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4" w:hRule="atLeast"/>
        </w:trPr>
        <w:tc>
          <w:tcPr>
            <w:tcW w:w="132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黑体" w:hAnsi="黑体" w:eastAsia="黑体" w:cs="黑体"/>
                <w:i w:val="0"/>
                <w:color w:val="auto"/>
                <w:kern w:val="0"/>
                <w:sz w:val="24"/>
                <w:szCs w:val="24"/>
                <w:u w:val="none"/>
                <w:lang w:val="en-US" w:eastAsia="zh-CN" w:bidi="ar"/>
              </w:rPr>
              <w:t>二、经信（共15项）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95</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330207058000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对非食盐定点生产企业生产食盐的行政处罚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b/>
                <w:i w:val="0"/>
                <w:color w:val="auto"/>
                <w:sz w:val="32"/>
                <w:szCs w:val="32"/>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330207059000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对非食盐定点批发企业经营食盐批发业务的行政处罚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对食盐定点生产企业、非食用盐生产企业未按规定保存生产销售记录的行政处罚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对食盐定点批发企业未按规定保存采购销售记录的行政处罚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对食盐定点批发企业超出国家规定的范围销售食盐的行政处罚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9"/>
                <w:color w:val="auto"/>
                <w:sz w:val="21"/>
                <w:szCs w:val="21"/>
                <w:lang w:val="en-US" w:eastAsia="zh-CN" w:bidi="ar"/>
              </w:rPr>
              <w:t>对</w:t>
            </w:r>
            <w:r>
              <w:rPr>
                <w:rStyle w:val="10"/>
                <w:color w:val="auto"/>
                <w:sz w:val="21"/>
                <w:szCs w:val="21"/>
                <w:lang w:val="en-US" w:eastAsia="zh-CN" w:bidi="ar"/>
              </w:rPr>
              <w:t>将</w:t>
            </w:r>
            <w:r>
              <w:rPr>
                <w:rStyle w:val="9"/>
                <w:color w:val="auto"/>
                <w:sz w:val="21"/>
                <w:szCs w:val="21"/>
                <w:lang w:val="en-US" w:eastAsia="zh-CN" w:bidi="ar"/>
              </w:rPr>
              <w:t>非食用盐产品作为食盐销售的行政处罚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对食盐定点批发企业从食盐定点生产企业、其他食盐定点批发企业以外的单位或者个人购进食盐的行政处罚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对食盐零售单位从食盐定点批发企业以外的单位或个人购进食盐的行政处罚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对未按照规定在食盐外包装上作出标识的行政处罚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对食盐定点生产企业、食盐定点批发企业违反规定聘用人员的行政处罚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对碘盐加工企业、批发企业加工、批发不合格碘盐的行政处罚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需要报请上级盐业主管部门批准的，由盐业主管部门负责上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对在缺碘地区食用盐市场销售不合格碘盐或擅自销售非碘盐的行政处罚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对擅自废弃、转产盐田的行政处罚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对生产、加工用于零售的碘盐未按国家有关规定实行小包装并加贴防伪碘盐标识的行政处罚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对食盐批发企业造成责任性脱销的行政处罚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盐业主管部门负责日常监管、受理投诉、举报；对发现、移送的违法线索进行处理，责令改正；需要立案查处的，将相关证据材料移送市场监管部门。市场监管部门按程序办理并将处理结果反馈盐业主管部门。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281" w:type="dxa"/>
            <w:gridSpan w:val="9"/>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left"/>
              <w:textAlignment w:val="center"/>
              <w:outlineLvl w:val="9"/>
              <w:rPr>
                <w:rFonts w:hint="eastAsia" w:ascii="楷体_GB2312" w:hAnsi="宋体" w:eastAsia="楷体_GB2312" w:cs="楷体_GB2312"/>
                <w:i w:val="0"/>
                <w:color w:val="auto"/>
                <w:sz w:val="22"/>
                <w:szCs w:val="22"/>
                <w:u w:val="none"/>
              </w:rPr>
            </w:pPr>
            <w:r>
              <w:rPr>
                <w:rFonts w:hint="eastAsia" w:ascii="楷体_GB2312" w:hAnsi="宋体" w:eastAsia="楷体_GB2312" w:cs="楷体_GB2312"/>
                <w:i w:val="0"/>
                <w:color w:val="auto"/>
                <w:kern w:val="0"/>
                <w:sz w:val="24"/>
                <w:szCs w:val="24"/>
                <w:u w:val="none"/>
                <w:lang w:val="en-US" w:eastAsia="zh-CN" w:bidi="ar"/>
              </w:rPr>
              <w:t>注：本目录行政处罚事项根据浙江省权力事项库（监管库）动态调整。</w:t>
            </w:r>
          </w:p>
        </w:tc>
      </w:tr>
    </w:tbl>
    <w:p/>
    <w:sectPr>
      <w:footerReference r:id="rId3"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B629A"/>
    <w:rsid w:val="01A8279D"/>
    <w:rsid w:val="05135872"/>
    <w:rsid w:val="072F7C3B"/>
    <w:rsid w:val="186B6E9C"/>
    <w:rsid w:val="19FE3D29"/>
    <w:rsid w:val="1A266D66"/>
    <w:rsid w:val="215C4A7B"/>
    <w:rsid w:val="21751FC3"/>
    <w:rsid w:val="227446A9"/>
    <w:rsid w:val="231C7754"/>
    <w:rsid w:val="267F18DB"/>
    <w:rsid w:val="2C192DFA"/>
    <w:rsid w:val="30207CE4"/>
    <w:rsid w:val="33F86BD7"/>
    <w:rsid w:val="349423BB"/>
    <w:rsid w:val="36332FB1"/>
    <w:rsid w:val="36B31E5D"/>
    <w:rsid w:val="3B5C6230"/>
    <w:rsid w:val="3EE444D2"/>
    <w:rsid w:val="3F4F6979"/>
    <w:rsid w:val="43C81811"/>
    <w:rsid w:val="43F94AE3"/>
    <w:rsid w:val="43FA4747"/>
    <w:rsid w:val="45261B5F"/>
    <w:rsid w:val="46092DAF"/>
    <w:rsid w:val="466662CD"/>
    <w:rsid w:val="485B629A"/>
    <w:rsid w:val="48BD05D5"/>
    <w:rsid w:val="4EA31725"/>
    <w:rsid w:val="4EFC2906"/>
    <w:rsid w:val="51E317E5"/>
    <w:rsid w:val="570B3F2E"/>
    <w:rsid w:val="5A1F7258"/>
    <w:rsid w:val="5EA066BD"/>
    <w:rsid w:val="5EB62871"/>
    <w:rsid w:val="61FA5D2D"/>
    <w:rsid w:val="648B377E"/>
    <w:rsid w:val="666007B9"/>
    <w:rsid w:val="69877C40"/>
    <w:rsid w:val="6EB801FA"/>
    <w:rsid w:val="6F9A501B"/>
    <w:rsid w:val="70C72AD2"/>
    <w:rsid w:val="71874F7B"/>
    <w:rsid w:val="738A57A1"/>
    <w:rsid w:val="73D94079"/>
    <w:rsid w:val="751F75D4"/>
    <w:rsid w:val="7B820691"/>
    <w:rsid w:val="7C060A85"/>
    <w:rsid w:val="7ECF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41"/>
    <w:basedOn w:val="6"/>
    <w:qFormat/>
    <w:uiPriority w:val="0"/>
    <w:rPr>
      <w:rFonts w:hint="eastAsia" w:ascii="宋体" w:hAnsi="宋体" w:eastAsia="宋体" w:cs="宋体"/>
      <w:color w:val="000000"/>
      <w:sz w:val="21"/>
      <w:szCs w:val="21"/>
      <w:u w:val="none"/>
    </w:rPr>
  </w:style>
  <w:style w:type="character" w:customStyle="1" w:styleId="8">
    <w:name w:val="font121"/>
    <w:basedOn w:val="6"/>
    <w:qFormat/>
    <w:uiPriority w:val="0"/>
    <w:rPr>
      <w:rFonts w:hint="eastAsia" w:ascii="宋体" w:hAnsi="宋体" w:eastAsia="宋体" w:cs="宋体"/>
      <w:color w:val="FF0000"/>
      <w:sz w:val="21"/>
      <w:szCs w:val="21"/>
      <w:u w:val="none"/>
    </w:rPr>
  </w:style>
  <w:style w:type="character" w:customStyle="1" w:styleId="9">
    <w:name w:val="font51"/>
    <w:basedOn w:val="6"/>
    <w:qFormat/>
    <w:uiPriority w:val="0"/>
    <w:rPr>
      <w:rFonts w:hint="eastAsia" w:ascii="宋体" w:hAnsi="宋体" w:eastAsia="宋体" w:cs="宋体"/>
      <w:color w:val="000000"/>
      <w:sz w:val="22"/>
      <w:szCs w:val="22"/>
      <w:u w:val="none"/>
    </w:rPr>
  </w:style>
  <w:style w:type="character" w:customStyle="1" w:styleId="10">
    <w:name w:val="font131"/>
    <w:basedOn w:val="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2021-02-02T02:04:00Z</dcterms:created>
  <dc:creator>???(yett.msxzc)</dc:creator>
  <cp:lastModifiedBy>平淡生活</cp:lastModifiedBy>
  <cp:lastPrinted>2021-02-07T01:34:00Z</cp:lastPrinted>
  <dcterms:modified xsi:type="dcterms:W3CDTF">2021-03-31T01:10:21Z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202F2A5E29944173BB7AE6CB89A6D057</vt:lpwstr>
  </property>
</Properties>
</file>